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B12CE2">
        <w:rPr>
          <w:rFonts w:ascii="Times New Roman" w:hAnsi="Times New Roman"/>
          <w:sz w:val="24"/>
        </w:rPr>
        <w:t>12058</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D41AD">
        <w:rPr>
          <w:rFonts w:ascii="Arial" w:hAnsi="Arial" w:cs="Arial"/>
          <w:sz w:val="24"/>
          <w:lang w:val="en-US" w:eastAsia="zh-CN"/>
        </w:rPr>
        <w:t>High speed requirements for NR</w:t>
      </w:r>
      <w:r w:rsidR="00D548BF">
        <w:rPr>
          <w:rFonts w:ascii="Arial" w:hAnsi="Arial" w:cs="Arial"/>
          <w:sz w:val="24"/>
          <w:lang w:val="en-US" w:eastAsia="zh-CN"/>
        </w:rPr>
        <w:t xml:space="preserve"> RRM</w:t>
      </w:r>
    </w:p>
    <w:p w:rsidR="00D548BF" w:rsidRPr="00D548BF" w:rsidRDefault="005813AA" w:rsidP="00672856">
      <w:pPr>
        <w:jc w:val="both"/>
        <w:rPr>
          <w:rFonts w:ascii="Arial"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E77B8">
        <w:rPr>
          <w:rFonts w:ascii="Arial" w:hAnsi="Arial" w:cs="Arial"/>
          <w:sz w:val="24"/>
          <w:lang w:val="en-US" w:eastAsia="zh-CN"/>
        </w:rPr>
        <w:t>8.17.1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5A62D4" w:rsidP="0065502B">
      <w:r>
        <w:t>A work item for NR high speed train scenarios, including RRM requirements was agreed. Regarding the speed to be supported, the WID says:</w:t>
      </w:r>
    </w:p>
    <w:tbl>
      <w:tblPr>
        <w:tblStyle w:val="TableGrid"/>
        <w:tblW w:w="0" w:type="auto"/>
        <w:tblLook w:val="04A0" w:firstRow="1" w:lastRow="0" w:firstColumn="1" w:lastColumn="0" w:noHBand="0" w:noVBand="1"/>
      </w:tblPr>
      <w:tblGrid>
        <w:gridCol w:w="10537"/>
      </w:tblGrid>
      <w:tr w:rsidR="005A62D4" w:rsidTr="005A62D4">
        <w:tc>
          <w:tcPr>
            <w:tcW w:w="10537" w:type="dxa"/>
          </w:tcPr>
          <w:p w:rsidR="005A62D4" w:rsidRPr="005A62D4" w:rsidRDefault="005A62D4" w:rsidP="0065502B">
            <w:pPr>
              <w:numPr>
                <w:ilvl w:val="0"/>
                <w:numId w:val="36"/>
              </w:numPr>
              <w:jc w:val="both"/>
              <w:rPr>
                <w:rFonts w:eastAsia="SimSun"/>
                <w:lang w:val="en-US" w:eastAsia="zh-CN"/>
              </w:rPr>
            </w:pPr>
            <w:r>
              <w:rPr>
                <w:rFonts w:eastAsia="SimSun"/>
                <w:lang w:val="en-US" w:eastAsia="zh-CN"/>
              </w:rPr>
              <w:t>The feasibility of supporting speeds of up to a maximum of 500km/h will be investigated. The actual maximum supported velocity at 3.6GHz will be decided in this WI.</w:t>
            </w:r>
          </w:p>
        </w:tc>
      </w:tr>
    </w:tbl>
    <w:p w:rsidR="005A62D4" w:rsidRDefault="005A62D4" w:rsidP="0065502B"/>
    <w:p w:rsidR="00BB7D0C" w:rsidRPr="0065502B" w:rsidRDefault="00BB7D0C" w:rsidP="0065502B">
      <w:r>
        <w:t xml:space="preserve">In this contribution we evaluate RRM requirements for support of both 350km/h and 500km/h. In the event that </w:t>
      </w:r>
      <w:r w:rsidR="00070429">
        <w:t xml:space="preserve">500km/h is not feasible then 350km/h requirements are of interest as a possible fallback solution, noting that for release 16 the complete package of requirements needs to be understood before deciding on the actual supported velocity. The scope of the WI is for NR SA single carrier scenarios, so carrier aggregation (Scell enhanced </w:t>
      </w:r>
      <w:r w:rsidR="009E77B8">
        <w:t>requirements</w:t>
      </w:r>
      <w:r w:rsidR="00070429">
        <w:t>) are not considered.</w:t>
      </w:r>
    </w:p>
    <w:p w:rsidR="00902595" w:rsidRDefault="00902595" w:rsidP="00902595">
      <w:pPr>
        <w:pStyle w:val="Heading1"/>
        <w:jc w:val="both"/>
        <w:rPr>
          <w:rFonts w:eastAsia="SimSun"/>
          <w:lang w:val="en-US" w:eastAsia="zh-CN"/>
        </w:rPr>
      </w:pPr>
      <w:r>
        <w:rPr>
          <w:rFonts w:eastAsia="SimSun"/>
          <w:lang w:val="en-US" w:eastAsia="zh-CN"/>
        </w:rPr>
        <w:t>Discussion</w:t>
      </w:r>
    </w:p>
    <w:p w:rsidR="00ED41AD" w:rsidRDefault="00ED41AD" w:rsidP="00ED41AD">
      <w:pPr>
        <w:rPr>
          <w:lang w:val="en-US" w:eastAsia="zh-CN"/>
        </w:rPr>
      </w:pPr>
      <w:r>
        <w:rPr>
          <w:lang w:val="en-US" w:eastAsia="zh-CN"/>
        </w:rPr>
        <w:t>We begin by reviewing the requirements introduced for LTE high speed operation at 350km/h and 500 hm/h. Only intrafrequency requirements have been enhanced, and a summary is provided in table 1.</w:t>
      </w:r>
    </w:p>
    <w:p w:rsidR="00ED41AD" w:rsidRDefault="00ED41AD" w:rsidP="00ED41AD">
      <w:pPr>
        <w:rPr>
          <w:lang w:val="en-US" w:eastAsia="zh-CN"/>
        </w:rPr>
      </w:pPr>
    </w:p>
    <w:tbl>
      <w:tblPr>
        <w:tblStyle w:val="TableGrid"/>
        <w:tblW w:w="0" w:type="auto"/>
        <w:tblLook w:val="04A0" w:firstRow="1" w:lastRow="0" w:firstColumn="1" w:lastColumn="0" w:noHBand="0" w:noVBand="1"/>
      </w:tblPr>
      <w:tblGrid>
        <w:gridCol w:w="1793"/>
        <w:gridCol w:w="1794"/>
        <w:gridCol w:w="1794"/>
        <w:gridCol w:w="1794"/>
        <w:gridCol w:w="1794"/>
      </w:tblGrid>
      <w:tr w:rsidR="006832B8" w:rsidTr="00ED41AD">
        <w:tc>
          <w:tcPr>
            <w:tcW w:w="1793" w:type="dxa"/>
          </w:tcPr>
          <w:p w:rsidR="006832B8" w:rsidRPr="00ED41AD" w:rsidRDefault="006832B8" w:rsidP="00ED41AD">
            <w:pPr>
              <w:rPr>
                <w:b/>
                <w:lang w:val="en-US" w:eastAsia="zh-CN"/>
              </w:rPr>
            </w:pPr>
            <w:r w:rsidRPr="00ED41AD">
              <w:rPr>
                <w:b/>
                <w:lang w:val="en-US" w:eastAsia="zh-CN"/>
              </w:rPr>
              <w:t>Intra requirement</w:t>
            </w:r>
          </w:p>
        </w:tc>
        <w:tc>
          <w:tcPr>
            <w:tcW w:w="1794" w:type="dxa"/>
          </w:tcPr>
          <w:p w:rsidR="006832B8" w:rsidRDefault="006832B8" w:rsidP="00ED41AD">
            <w:pPr>
              <w:rPr>
                <w:lang w:val="en-US" w:eastAsia="zh-CN"/>
              </w:rPr>
            </w:pPr>
            <w:r>
              <w:rPr>
                <w:lang w:val="en-US" w:eastAsia="zh-CN"/>
              </w:rPr>
              <w:t>LTE non high speed</w:t>
            </w:r>
          </w:p>
        </w:tc>
        <w:tc>
          <w:tcPr>
            <w:tcW w:w="1794" w:type="dxa"/>
          </w:tcPr>
          <w:p w:rsidR="006832B8" w:rsidRDefault="006832B8" w:rsidP="00ED41AD">
            <w:pPr>
              <w:rPr>
                <w:lang w:val="en-US" w:eastAsia="zh-CN"/>
              </w:rPr>
            </w:pPr>
            <w:r>
              <w:rPr>
                <w:lang w:val="en-US" w:eastAsia="zh-CN"/>
              </w:rPr>
              <w:t>LTE release 14 Pcell up to 350hm/h</w:t>
            </w:r>
          </w:p>
        </w:tc>
        <w:tc>
          <w:tcPr>
            <w:tcW w:w="1794" w:type="dxa"/>
          </w:tcPr>
          <w:p w:rsidR="006832B8" w:rsidRDefault="006832B8" w:rsidP="00ED41AD">
            <w:pPr>
              <w:rPr>
                <w:lang w:val="en-US" w:eastAsia="zh-CN"/>
              </w:rPr>
            </w:pPr>
            <w:r>
              <w:rPr>
                <w:lang w:val="en-US" w:eastAsia="zh-CN"/>
              </w:rPr>
              <w:t>LTE release 16 Pcell up to 500km/h</w:t>
            </w:r>
          </w:p>
        </w:tc>
        <w:tc>
          <w:tcPr>
            <w:tcW w:w="1794" w:type="dxa"/>
          </w:tcPr>
          <w:p w:rsidR="006832B8" w:rsidRDefault="006832B8" w:rsidP="00ED41AD">
            <w:pPr>
              <w:rPr>
                <w:lang w:val="en-US" w:eastAsia="zh-CN"/>
              </w:rPr>
            </w:pPr>
            <w:r>
              <w:rPr>
                <w:lang w:val="en-US" w:eastAsia="zh-CN"/>
              </w:rPr>
              <w:t>LTE release 16 Scell requirements</w:t>
            </w:r>
          </w:p>
        </w:tc>
      </w:tr>
      <w:tr w:rsidR="006832B8" w:rsidTr="00ED41AD">
        <w:tc>
          <w:tcPr>
            <w:tcW w:w="1793" w:type="dxa"/>
          </w:tcPr>
          <w:p w:rsidR="006832B8" w:rsidRDefault="006832B8" w:rsidP="006832B8">
            <w:pPr>
              <w:rPr>
                <w:lang w:val="en-US" w:eastAsia="zh-CN"/>
              </w:rPr>
            </w:pPr>
            <w:r>
              <w:rPr>
                <w:lang w:val="en-US" w:eastAsia="zh-CN"/>
              </w:rPr>
              <w:t>Idle mode T</w:t>
            </w:r>
            <w:r w:rsidRPr="00ED41AD">
              <w:rPr>
                <w:vertAlign w:val="subscript"/>
                <w:lang w:val="en-US" w:eastAsia="zh-CN"/>
              </w:rPr>
              <w:t>detect</w:t>
            </w:r>
          </w:p>
        </w:tc>
        <w:tc>
          <w:tcPr>
            <w:tcW w:w="1794" w:type="dxa"/>
          </w:tcPr>
          <w:p w:rsidR="006832B8" w:rsidRDefault="006832B8" w:rsidP="006832B8">
            <w:pPr>
              <w:pStyle w:val="TAC"/>
              <w:rPr>
                <w:rFonts w:cs="Arial"/>
              </w:rPr>
            </w:pPr>
            <w:r>
              <w:rPr>
                <w:rFonts w:cs="Arial"/>
              </w:rPr>
              <w:t>36 DRX cycles (0.32s</w:t>
            </w:r>
            <w:r w:rsidRPr="00AD1543">
              <w:rPr>
                <w:rFonts w:cs="Arial"/>
              </w:rPr>
              <w:t>)</w:t>
            </w:r>
          </w:p>
          <w:p w:rsidR="006832B8" w:rsidRDefault="006832B8" w:rsidP="006832B8">
            <w:pPr>
              <w:pStyle w:val="TAC"/>
              <w:rPr>
                <w:rFonts w:cs="Arial"/>
                <w:snapToGrid w:val="0"/>
              </w:rPr>
            </w:pPr>
            <w:r>
              <w:rPr>
                <w:rFonts w:cs="Arial"/>
                <w:snapToGrid w:val="0"/>
              </w:rPr>
              <w:t>28 DRX cycles (0.64s)</w:t>
            </w:r>
          </w:p>
          <w:p w:rsidR="006832B8" w:rsidRDefault="006832B8" w:rsidP="006832B8">
            <w:pPr>
              <w:pStyle w:val="TAC"/>
              <w:rPr>
                <w:rFonts w:cs="Arial"/>
                <w:snapToGrid w:val="0"/>
              </w:rPr>
            </w:pPr>
            <w:r>
              <w:rPr>
                <w:rFonts w:cs="Arial"/>
                <w:snapToGrid w:val="0"/>
              </w:rPr>
              <w:t>25 DRX cycles (1.28s)</w:t>
            </w:r>
          </w:p>
          <w:p w:rsidR="006832B8" w:rsidRPr="00AD1543" w:rsidRDefault="006832B8" w:rsidP="006832B8">
            <w:pPr>
              <w:pStyle w:val="TAC"/>
              <w:rPr>
                <w:rFonts w:cs="Arial"/>
                <w:snapToGrid w:val="0"/>
              </w:rPr>
            </w:pPr>
            <w:r>
              <w:rPr>
                <w:rFonts w:cs="Arial"/>
                <w:snapToGrid w:val="0"/>
              </w:rPr>
              <w:t>23 DRX cycles (2.56s)</w:t>
            </w:r>
          </w:p>
        </w:tc>
        <w:tc>
          <w:tcPr>
            <w:tcW w:w="1794" w:type="dxa"/>
          </w:tcPr>
          <w:p w:rsidR="006832B8" w:rsidRDefault="006832B8" w:rsidP="006832B8">
            <w:pPr>
              <w:rPr>
                <w:lang w:val="en-US" w:eastAsia="zh-CN"/>
              </w:rPr>
            </w:pPr>
            <w:r>
              <w:rPr>
                <w:lang w:val="en-US" w:eastAsia="zh-CN"/>
              </w:rPr>
              <w:t>10 DRX cycles except 2.56s DRX cycle which was not enhanced</w:t>
            </w:r>
          </w:p>
        </w:tc>
        <w:tc>
          <w:tcPr>
            <w:tcW w:w="1794" w:type="dxa"/>
          </w:tcPr>
          <w:p w:rsidR="006832B8" w:rsidRDefault="006832B8" w:rsidP="006832B8">
            <w:pPr>
              <w:pStyle w:val="TAC"/>
              <w:rPr>
                <w:rFonts w:cs="Arial"/>
              </w:rPr>
            </w:pPr>
            <w:r>
              <w:rPr>
                <w:rFonts w:cs="Arial"/>
              </w:rPr>
              <w:t>8 DRX cycles (0.32s</w:t>
            </w:r>
            <w:r w:rsidRPr="00AD1543">
              <w:rPr>
                <w:rFonts w:cs="Arial"/>
              </w:rPr>
              <w:t>)</w:t>
            </w:r>
          </w:p>
          <w:p w:rsidR="006832B8" w:rsidRDefault="006832B8" w:rsidP="006832B8">
            <w:pPr>
              <w:pStyle w:val="TAC"/>
              <w:rPr>
                <w:rFonts w:cs="Arial"/>
                <w:snapToGrid w:val="0"/>
              </w:rPr>
            </w:pPr>
            <w:r>
              <w:rPr>
                <w:rFonts w:cs="Arial"/>
                <w:snapToGrid w:val="0"/>
              </w:rPr>
              <w:t>8 DRX cycles (0.64s)</w:t>
            </w:r>
          </w:p>
          <w:p w:rsidR="006832B8" w:rsidRDefault="006832B8" w:rsidP="006832B8">
            <w:pPr>
              <w:pStyle w:val="TAC"/>
              <w:rPr>
                <w:rFonts w:cs="Arial"/>
                <w:snapToGrid w:val="0"/>
              </w:rPr>
            </w:pPr>
            <w:r>
              <w:rPr>
                <w:rFonts w:cs="Arial"/>
                <w:snapToGrid w:val="0"/>
              </w:rPr>
              <w:t>7 DRX cycles (1.28s)</w:t>
            </w:r>
          </w:p>
          <w:p w:rsidR="006832B8" w:rsidRDefault="006832B8" w:rsidP="006832B8">
            <w:pPr>
              <w:rPr>
                <w:lang w:val="en-US" w:eastAsia="zh-CN"/>
              </w:rPr>
            </w:pPr>
            <w:r>
              <w:rPr>
                <w:rFonts w:cs="Arial"/>
                <w:snapToGrid w:val="0"/>
              </w:rPr>
              <w:t>23 DRX cycles (2.56s) (not enhanced)</w:t>
            </w:r>
          </w:p>
        </w:tc>
        <w:tc>
          <w:tcPr>
            <w:tcW w:w="1794" w:type="dxa"/>
          </w:tcPr>
          <w:p w:rsidR="006832B8" w:rsidRDefault="006832B8" w:rsidP="006832B8">
            <w:pPr>
              <w:rPr>
                <w:lang w:val="en-US" w:eastAsia="zh-CN"/>
              </w:rPr>
            </w:pPr>
            <w:r>
              <w:rPr>
                <w:lang w:val="en-US" w:eastAsia="zh-CN"/>
              </w:rPr>
              <w:t>N/A</w:t>
            </w:r>
          </w:p>
        </w:tc>
      </w:tr>
      <w:tr w:rsidR="006832B8" w:rsidTr="00ED41AD">
        <w:tc>
          <w:tcPr>
            <w:tcW w:w="1793" w:type="dxa"/>
          </w:tcPr>
          <w:p w:rsidR="006832B8" w:rsidRDefault="006832B8" w:rsidP="006832B8">
            <w:pPr>
              <w:rPr>
                <w:lang w:val="en-US" w:eastAsia="zh-CN"/>
              </w:rPr>
            </w:pPr>
            <w:r>
              <w:rPr>
                <w:lang w:val="en-US" w:eastAsia="zh-CN"/>
              </w:rPr>
              <w:t>Idle mode T</w:t>
            </w:r>
            <w:r>
              <w:rPr>
                <w:vertAlign w:val="subscript"/>
                <w:lang w:val="en-US" w:eastAsia="zh-CN"/>
              </w:rPr>
              <w:t>ervaluate</w:t>
            </w:r>
          </w:p>
        </w:tc>
        <w:tc>
          <w:tcPr>
            <w:tcW w:w="1794" w:type="dxa"/>
          </w:tcPr>
          <w:p w:rsidR="009B0924" w:rsidRDefault="009B0924" w:rsidP="009B0924">
            <w:pPr>
              <w:pStyle w:val="TAC"/>
              <w:rPr>
                <w:rFonts w:cs="Arial"/>
              </w:rPr>
            </w:pPr>
            <w:r>
              <w:rPr>
                <w:rFonts w:cs="Arial"/>
              </w:rPr>
              <w:t>16 DRX cycles (0.32s</w:t>
            </w:r>
            <w:r w:rsidRPr="00AD1543">
              <w:rPr>
                <w:rFonts w:cs="Arial"/>
              </w:rPr>
              <w:t>)</w:t>
            </w:r>
          </w:p>
          <w:p w:rsidR="009B0924" w:rsidRDefault="009B0924" w:rsidP="009B0924">
            <w:pPr>
              <w:pStyle w:val="TAC"/>
              <w:rPr>
                <w:rFonts w:cs="Arial"/>
                <w:snapToGrid w:val="0"/>
              </w:rPr>
            </w:pPr>
            <w:r>
              <w:rPr>
                <w:rFonts w:cs="Arial"/>
                <w:snapToGrid w:val="0"/>
              </w:rPr>
              <w:t>8 DRX cycles (0.64s)</w:t>
            </w:r>
          </w:p>
          <w:p w:rsidR="009B0924" w:rsidRDefault="009B0924" w:rsidP="009B0924">
            <w:pPr>
              <w:pStyle w:val="TAC"/>
              <w:rPr>
                <w:rFonts w:cs="Arial"/>
                <w:snapToGrid w:val="0"/>
              </w:rPr>
            </w:pPr>
            <w:r>
              <w:rPr>
                <w:rFonts w:cs="Arial"/>
                <w:snapToGrid w:val="0"/>
              </w:rPr>
              <w:t>5 DRX cycles (1.28s)</w:t>
            </w:r>
          </w:p>
          <w:p w:rsidR="006832B8" w:rsidRPr="00AD1543" w:rsidRDefault="009B0924" w:rsidP="009B0924">
            <w:pPr>
              <w:pStyle w:val="TAC"/>
              <w:rPr>
                <w:rFonts w:cs="Arial"/>
                <w:snapToGrid w:val="0"/>
              </w:rPr>
            </w:pPr>
            <w:r>
              <w:rPr>
                <w:rFonts w:cs="Arial"/>
                <w:snapToGrid w:val="0"/>
              </w:rPr>
              <w:t>3 DRX cycles (2.56s)</w:t>
            </w:r>
          </w:p>
        </w:tc>
        <w:tc>
          <w:tcPr>
            <w:tcW w:w="1794" w:type="dxa"/>
          </w:tcPr>
          <w:p w:rsidR="006832B8" w:rsidRDefault="006832B8" w:rsidP="006832B8">
            <w:pPr>
              <w:rPr>
                <w:lang w:val="en-US" w:eastAsia="zh-CN"/>
              </w:rPr>
            </w:pPr>
            <w:r>
              <w:rPr>
                <w:rFonts w:cs="Arial"/>
                <w:snapToGrid w:val="0"/>
              </w:rPr>
              <w:t>3 DRX cycles</w:t>
            </w:r>
          </w:p>
        </w:tc>
        <w:tc>
          <w:tcPr>
            <w:tcW w:w="1794" w:type="dxa"/>
          </w:tcPr>
          <w:p w:rsidR="006832B8" w:rsidRDefault="006832B8" w:rsidP="006832B8">
            <w:pPr>
              <w:rPr>
                <w:lang w:val="en-US" w:eastAsia="zh-CN"/>
              </w:rPr>
            </w:pPr>
            <w:r>
              <w:rPr>
                <w:rFonts w:cs="Arial"/>
                <w:snapToGrid w:val="0"/>
              </w:rPr>
              <w:t>3 DRX cycles</w:t>
            </w:r>
          </w:p>
        </w:tc>
        <w:tc>
          <w:tcPr>
            <w:tcW w:w="1794" w:type="dxa"/>
          </w:tcPr>
          <w:p w:rsidR="006832B8" w:rsidRDefault="006832B8" w:rsidP="006832B8">
            <w:pPr>
              <w:rPr>
                <w:lang w:val="en-US" w:eastAsia="zh-CN"/>
              </w:rPr>
            </w:pPr>
            <w:r>
              <w:rPr>
                <w:lang w:val="en-US" w:eastAsia="zh-CN"/>
              </w:rPr>
              <w:t>N/A</w:t>
            </w:r>
          </w:p>
        </w:tc>
      </w:tr>
      <w:tr w:rsidR="006832B8" w:rsidTr="00ED41AD">
        <w:tc>
          <w:tcPr>
            <w:tcW w:w="1793" w:type="dxa"/>
          </w:tcPr>
          <w:p w:rsidR="006832B8" w:rsidRDefault="006832B8" w:rsidP="006832B8">
            <w:pPr>
              <w:rPr>
                <w:lang w:val="en-US" w:eastAsia="zh-CN"/>
              </w:rPr>
            </w:pPr>
            <w:r>
              <w:rPr>
                <w:lang w:val="en-US" w:eastAsia="zh-CN"/>
              </w:rPr>
              <w:t>Measurement period RRC connected non DRX</w:t>
            </w:r>
          </w:p>
        </w:tc>
        <w:tc>
          <w:tcPr>
            <w:tcW w:w="1794" w:type="dxa"/>
          </w:tcPr>
          <w:p w:rsidR="006832B8" w:rsidRPr="00AD1543" w:rsidRDefault="006832B8" w:rsidP="006832B8">
            <w:pPr>
              <w:pStyle w:val="TAC"/>
              <w:rPr>
                <w:rFonts w:cs="Arial"/>
                <w:snapToGrid w:val="0"/>
              </w:rPr>
            </w:pPr>
            <w:r>
              <w:rPr>
                <w:rFonts w:cs="Arial"/>
                <w:snapToGrid w:val="0"/>
              </w:rPr>
              <w:t>200ms</w:t>
            </w:r>
          </w:p>
        </w:tc>
        <w:tc>
          <w:tcPr>
            <w:tcW w:w="1794" w:type="dxa"/>
          </w:tcPr>
          <w:p w:rsidR="006832B8" w:rsidRDefault="006832B8" w:rsidP="006832B8">
            <w:pPr>
              <w:rPr>
                <w:lang w:val="en-US" w:eastAsia="zh-CN"/>
              </w:rPr>
            </w:pPr>
            <w:r>
              <w:rPr>
                <w:lang w:val="en-US" w:eastAsia="zh-CN"/>
              </w:rPr>
              <w:t>200ms</w:t>
            </w:r>
          </w:p>
        </w:tc>
        <w:tc>
          <w:tcPr>
            <w:tcW w:w="1794" w:type="dxa"/>
          </w:tcPr>
          <w:p w:rsidR="006832B8" w:rsidRDefault="006832B8" w:rsidP="006832B8">
            <w:pPr>
              <w:rPr>
                <w:lang w:val="en-US" w:eastAsia="zh-CN"/>
              </w:rPr>
            </w:pPr>
            <w:r>
              <w:rPr>
                <w:lang w:val="en-US" w:eastAsia="zh-CN"/>
              </w:rPr>
              <w:t>200mss</w:t>
            </w:r>
          </w:p>
        </w:tc>
        <w:tc>
          <w:tcPr>
            <w:tcW w:w="1794" w:type="dxa"/>
          </w:tcPr>
          <w:p w:rsidR="006832B8" w:rsidRDefault="006832B8" w:rsidP="006832B8">
            <w:pPr>
              <w:rPr>
                <w:lang w:val="en-US" w:eastAsia="zh-CN"/>
              </w:rPr>
            </w:pPr>
            <w:r>
              <w:rPr>
                <w:lang w:val="en-US" w:eastAsia="zh-CN"/>
              </w:rPr>
              <w:t>N/A</w:t>
            </w:r>
          </w:p>
        </w:tc>
      </w:tr>
      <w:tr w:rsidR="006832B8" w:rsidTr="00ED41AD">
        <w:tc>
          <w:tcPr>
            <w:tcW w:w="1793" w:type="dxa"/>
          </w:tcPr>
          <w:p w:rsidR="006832B8" w:rsidRDefault="006832B8" w:rsidP="006832B8">
            <w:pPr>
              <w:rPr>
                <w:lang w:val="en-US" w:eastAsia="zh-CN"/>
              </w:rPr>
            </w:pPr>
            <w:r>
              <w:rPr>
                <w:lang w:val="en-US" w:eastAsia="zh-CN"/>
              </w:rPr>
              <w:t>Cell identification RRC connected non DRX</w:t>
            </w:r>
          </w:p>
        </w:tc>
        <w:tc>
          <w:tcPr>
            <w:tcW w:w="1794" w:type="dxa"/>
          </w:tcPr>
          <w:p w:rsidR="006832B8" w:rsidRPr="00AD1543" w:rsidRDefault="006832B8" w:rsidP="006832B8">
            <w:pPr>
              <w:pStyle w:val="TAC"/>
              <w:rPr>
                <w:rFonts w:cs="Arial"/>
                <w:snapToGrid w:val="0"/>
              </w:rPr>
            </w:pPr>
            <w:r>
              <w:rPr>
                <w:rFonts w:cs="Arial"/>
                <w:snapToGrid w:val="0"/>
              </w:rPr>
              <w:t>800ms</w:t>
            </w:r>
          </w:p>
        </w:tc>
        <w:tc>
          <w:tcPr>
            <w:tcW w:w="1794" w:type="dxa"/>
          </w:tcPr>
          <w:p w:rsidR="006832B8" w:rsidRDefault="006832B8" w:rsidP="006832B8">
            <w:pPr>
              <w:rPr>
                <w:lang w:val="en-US" w:eastAsia="zh-CN"/>
              </w:rPr>
            </w:pPr>
            <w:r>
              <w:rPr>
                <w:rFonts w:cs="Arial"/>
                <w:snapToGrid w:val="0"/>
              </w:rPr>
              <w:t>800ms</w:t>
            </w:r>
          </w:p>
        </w:tc>
        <w:tc>
          <w:tcPr>
            <w:tcW w:w="1794" w:type="dxa"/>
          </w:tcPr>
          <w:p w:rsidR="006832B8" w:rsidRDefault="006832B8" w:rsidP="006832B8">
            <w:pPr>
              <w:rPr>
                <w:lang w:val="en-US" w:eastAsia="zh-CN"/>
              </w:rPr>
            </w:pPr>
            <w:r>
              <w:rPr>
                <w:rFonts w:cs="Arial"/>
                <w:snapToGrid w:val="0"/>
              </w:rPr>
              <w:t>800ms</w:t>
            </w:r>
          </w:p>
        </w:tc>
        <w:tc>
          <w:tcPr>
            <w:tcW w:w="1794" w:type="dxa"/>
          </w:tcPr>
          <w:p w:rsidR="006832B8" w:rsidRDefault="006832B8" w:rsidP="006832B8">
            <w:pPr>
              <w:rPr>
                <w:lang w:val="en-US" w:eastAsia="zh-CN"/>
              </w:rPr>
            </w:pPr>
            <w:r>
              <w:rPr>
                <w:lang w:val="en-US" w:eastAsia="zh-CN"/>
              </w:rPr>
              <w:t>N/A</w:t>
            </w:r>
          </w:p>
        </w:tc>
      </w:tr>
      <w:tr w:rsidR="006832B8" w:rsidTr="00ED41AD">
        <w:tc>
          <w:tcPr>
            <w:tcW w:w="1793" w:type="dxa"/>
          </w:tcPr>
          <w:p w:rsidR="006832B8" w:rsidRDefault="006832B8" w:rsidP="006832B8">
            <w:pPr>
              <w:rPr>
                <w:lang w:val="en-US" w:eastAsia="zh-CN"/>
              </w:rPr>
            </w:pPr>
            <w:r>
              <w:rPr>
                <w:lang w:val="en-US" w:eastAsia="zh-CN"/>
              </w:rPr>
              <w:lastRenderedPageBreak/>
              <w:t>Measurement period RRC connected DRX</w:t>
            </w:r>
          </w:p>
        </w:tc>
        <w:tc>
          <w:tcPr>
            <w:tcW w:w="1794" w:type="dxa"/>
          </w:tcPr>
          <w:p w:rsidR="006832B8" w:rsidRDefault="006832B8" w:rsidP="006832B8">
            <w:pPr>
              <w:rPr>
                <w:lang w:val="en-US" w:eastAsia="zh-CN"/>
              </w:rPr>
            </w:pPr>
          </w:p>
        </w:tc>
        <w:tc>
          <w:tcPr>
            <w:tcW w:w="1794" w:type="dxa"/>
          </w:tcPr>
          <w:p w:rsidR="006832B8" w:rsidRDefault="006832B8" w:rsidP="006832B8">
            <w:pPr>
              <w:rPr>
                <w:lang w:val="en-US" w:eastAsia="zh-CN"/>
              </w:rPr>
            </w:pPr>
          </w:p>
        </w:tc>
        <w:tc>
          <w:tcPr>
            <w:tcW w:w="1794" w:type="dxa"/>
          </w:tcPr>
          <w:p w:rsidR="006832B8" w:rsidRDefault="006832B8" w:rsidP="006832B8">
            <w:pPr>
              <w:rPr>
                <w:lang w:val="en-US" w:eastAsia="zh-CN"/>
              </w:rPr>
            </w:pPr>
          </w:p>
        </w:tc>
        <w:tc>
          <w:tcPr>
            <w:tcW w:w="1794" w:type="dxa"/>
          </w:tcPr>
          <w:p w:rsidR="006832B8" w:rsidRDefault="006832B8" w:rsidP="006832B8">
            <w:pPr>
              <w:rPr>
                <w:lang w:val="en-US" w:eastAsia="zh-CN"/>
              </w:rPr>
            </w:pPr>
          </w:p>
        </w:tc>
      </w:tr>
      <w:tr w:rsidR="006832B8" w:rsidTr="00ED41AD">
        <w:tc>
          <w:tcPr>
            <w:tcW w:w="1793" w:type="dxa"/>
          </w:tcPr>
          <w:p w:rsidR="006832B8" w:rsidRDefault="006832B8" w:rsidP="006832B8">
            <w:pPr>
              <w:rPr>
                <w:lang w:val="en-US" w:eastAsia="zh-CN"/>
              </w:rPr>
            </w:pPr>
            <w:r>
              <w:rPr>
                <w:lang w:val="en-US" w:eastAsia="zh-CN"/>
              </w:rPr>
              <w:t>Cell identification RRC connected DRX</w:t>
            </w:r>
          </w:p>
        </w:tc>
        <w:tc>
          <w:tcPr>
            <w:tcW w:w="1794" w:type="dxa"/>
          </w:tcPr>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396"/>
            </w:tblGrid>
            <w:tr w:rsidR="006832B8" w:rsidRPr="00304F38" w:rsidTr="00E2786D">
              <w:trPr>
                <w:cantSplit/>
                <w:jc w:val="center"/>
              </w:trPr>
              <w:tc>
                <w:tcPr>
                  <w:tcW w:w="2124" w:type="pct"/>
                </w:tcPr>
                <w:p w:rsidR="006832B8" w:rsidRPr="00304F38" w:rsidRDefault="006832B8" w:rsidP="006832B8">
                  <w:pPr>
                    <w:pStyle w:val="TAC"/>
                    <w:rPr>
                      <w:rFonts w:cs="Arial"/>
                      <w:snapToGrid w:val="0"/>
                    </w:rPr>
                  </w:pPr>
                  <w:r w:rsidRPr="00304F38">
                    <w:rPr>
                      <w:rFonts w:cs="Arial"/>
                    </w:rPr>
                    <w:t>0.04&lt;DRX-cycle≤0.08</w:t>
                  </w:r>
                </w:p>
              </w:tc>
              <w:tc>
                <w:tcPr>
                  <w:tcW w:w="2876" w:type="pct"/>
                </w:tcPr>
                <w:p w:rsidR="006832B8" w:rsidRPr="00304F38" w:rsidRDefault="006832B8" w:rsidP="006832B8">
                  <w:pPr>
                    <w:pStyle w:val="TAC"/>
                    <w:rPr>
                      <w:rFonts w:cs="Arial"/>
                      <w:snapToGrid w:val="0"/>
                    </w:rPr>
                  </w:pPr>
                  <w:r w:rsidRPr="00304F38">
                    <w:rPr>
                      <w:rFonts w:cs="Arial"/>
                    </w:rPr>
                    <w:t xml:space="preserve"> 40</w:t>
                  </w:r>
                </w:p>
              </w:tc>
            </w:tr>
            <w:tr w:rsidR="006832B8" w:rsidRPr="00304F38" w:rsidTr="00E2786D">
              <w:trPr>
                <w:cantSplit/>
                <w:jc w:val="center"/>
              </w:trPr>
              <w:tc>
                <w:tcPr>
                  <w:tcW w:w="2124" w:type="pct"/>
                </w:tcPr>
                <w:p w:rsidR="006832B8" w:rsidRPr="00304F38" w:rsidRDefault="006832B8" w:rsidP="006832B8">
                  <w:pPr>
                    <w:pStyle w:val="TAC"/>
                    <w:rPr>
                      <w:rFonts w:cs="Arial"/>
                    </w:rPr>
                  </w:pPr>
                  <w:r w:rsidRPr="00304F38">
                    <w:rPr>
                      <w:rFonts w:cs="Arial"/>
                    </w:rPr>
                    <w:t>0.128</w:t>
                  </w:r>
                </w:p>
              </w:tc>
              <w:tc>
                <w:tcPr>
                  <w:tcW w:w="2876" w:type="pct"/>
                </w:tcPr>
                <w:p w:rsidR="006832B8" w:rsidRPr="00304F38" w:rsidRDefault="006832B8" w:rsidP="006832B8">
                  <w:pPr>
                    <w:pStyle w:val="TAC"/>
                    <w:jc w:val="left"/>
                    <w:rPr>
                      <w:rFonts w:cs="Arial"/>
                    </w:rPr>
                  </w:pPr>
                  <w:r w:rsidRPr="00304F38">
                    <w:rPr>
                      <w:rFonts w:cs="Arial"/>
                    </w:rPr>
                    <w:t>25</w:t>
                  </w:r>
                </w:p>
              </w:tc>
            </w:tr>
            <w:tr w:rsidR="006832B8" w:rsidRPr="00304F38" w:rsidTr="00E2786D">
              <w:trPr>
                <w:cantSplit/>
                <w:jc w:val="center"/>
              </w:trPr>
              <w:tc>
                <w:tcPr>
                  <w:tcW w:w="2124" w:type="pct"/>
                </w:tcPr>
                <w:p w:rsidR="006832B8" w:rsidRPr="00304F38" w:rsidRDefault="006832B8" w:rsidP="006832B8">
                  <w:pPr>
                    <w:pStyle w:val="TAC"/>
                    <w:rPr>
                      <w:rFonts w:cs="Arial"/>
                      <w:snapToGrid w:val="0"/>
                    </w:rPr>
                  </w:pPr>
                  <w:r w:rsidRPr="00304F38">
                    <w:rPr>
                      <w:rFonts w:cs="Arial"/>
                    </w:rPr>
                    <w:t>0.128&lt;DRX-cycle≤2.56</w:t>
                  </w:r>
                </w:p>
              </w:tc>
              <w:tc>
                <w:tcPr>
                  <w:tcW w:w="2876" w:type="pct"/>
                </w:tcPr>
                <w:p w:rsidR="006832B8" w:rsidRPr="00304F38" w:rsidRDefault="006832B8" w:rsidP="006832B8">
                  <w:pPr>
                    <w:pStyle w:val="TAC"/>
                    <w:rPr>
                      <w:rFonts w:cs="Arial"/>
                      <w:snapToGrid w:val="0"/>
                    </w:rPr>
                  </w:pPr>
                  <w:r w:rsidRPr="00304F38">
                    <w:rPr>
                      <w:rFonts w:cs="Arial"/>
                    </w:rPr>
                    <w:t>20</w:t>
                  </w:r>
                </w:p>
              </w:tc>
            </w:tr>
          </w:tbl>
          <w:p w:rsidR="006832B8" w:rsidRDefault="006832B8" w:rsidP="006832B8">
            <w:pPr>
              <w:rPr>
                <w:lang w:val="en-US" w:eastAsia="zh-CN"/>
              </w:rPr>
            </w:pPr>
          </w:p>
        </w:tc>
        <w:tc>
          <w:tcPr>
            <w:tcW w:w="1794" w:type="dxa"/>
          </w:tcPr>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396"/>
            </w:tblGrid>
            <w:tr w:rsidR="006832B8" w:rsidRPr="00304F38" w:rsidTr="00E2786D">
              <w:trPr>
                <w:cantSplit/>
                <w:jc w:val="center"/>
              </w:trPr>
              <w:tc>
                <w:tcPr>
                  <w:tcW w:w="2397" w:type="pct"/>
                </w:tcPr>
                <w:p w:rsidR="006832B8" w:rsidRPr="00304F38" w:rsidRDefault="006832B8" w:rsidP="006832B8">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rsidR="006832B8" w:rsidRPr="00304F38" w:rsidRDefault="006832B8" w:rsidP="006832B8">
                  <w:pPr>
                    <w:pStyle w:val="TAC"/>
                    <w:rPr>
                      <w:rFonts w:cs="Arial"/>
                      <w:lang w:eastAsia="ja-JP"/>
                    </w:rPr>
                  </w:pPr>
                  <w:r w:rsidRPr="00304F38">
                    <w:rPr>
                      <w:rFonts w:cs="Arial" w:hint="eastAsia"/>
                      <w:lang w:eastAsia="zh-CN"/>
                    </w:rPr>
                    <w:t>15</w:t>
                  </w:r>
                </w:p>
              </w:tc>
            </w:tr>
            <w:tr w:rsidR="006832B8" w:rsidRPr="00304F38" w:rsidTr="00E2786D">
              <w:trPr>
                <w:cantSplit/>
                <w:jc w:val="center"/>
              </w:trPr>
              <w:tc>
                <w:tcPr>
                  <w:tcW w:w="2397" w:type="pct"/>
                </w:tcPr>
                <w:p w:rsidR="006832B8" w:rsidRPr="00304F38" w:rsidRDefault="006832B8" w:rsidP="006832B8">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w:t>
                  </w:r>
                  <w:r w:rsidRPr="00304F38">
                    <w:rPr>
                      <w:rFonts w:cs="Arial" w:hint="eastAsia"/>
                      <w:lang w:eastAsia="zh-CN"/>
                    </w:rPr>
                    <w:t>1.28</w:t>
                  </w:r>
                </w:p>
              </w:tc>
              <w:tc>
                <w:tcPr>
                  <w:tcW w:w="2603" w:type="pct"/>
                </w:tcPr>
                <w:p w:rsidR="006832B8" w:rsidRPr="00304F38" w:rsidRDefault="006832B8" w:rsidP="006832B8">
                  <w:pPr>
                    <w:pStyle w:val="TAC"/>
                    <w:rPr>
                      <w:rFonts w:cs="Arial"/>
                      <w:snapToGrid w:val="0"/>
                      <w:lang w:eastAsia="ja-JP"/>
                    </w:rPr>
                  </w:pPr>
                  <w:r w:rsidRPr="00304F38">
                    <w:rPr>
                      <w:rFonts w:cs="Arial" w:hint="eastAsia"/>
                      <w:lang w:eastAsia="zh-CN"/>
                    </w:rPr>
                    <w:t>10</w:t>
                  </w:r>
                </w:p>
              </w:tc>
            </w:tr>
            <w:tr w:rsidR="006832B8" w:rsidRPr="00304F38" w:rsidTr="00E2786D">
              <w:trPr>
                <w:cantSplit/>
                <w:jc w:val="center"/>
              </w:trPr>
              <w:tc>
                <w:tcPr>
                  <w:tcW w:w="2397" w:type="pct"/>
                </w:tcPr>
                <w:p w:rsidR="006832B8" w:rsidRPr="00304F38" w:rsidRDefault="006832B8" w:rsidP="006832B8">
                  <w:pPr>
                    <w:pStyle w:val="TAC"/>
                    <w:rPr>
                      <w:rFonts w:cs="Arial"/>
                      <w:lang w:eastAsia="zh-CN"/>
                    </w:rPr>
                  </w:pPr>
                  <w:r w:rsidRPr="00304F38">
                    <w:rPr>
                      <w:rFonts w:cs="Arial"/>
                      <w:lang w:eastAsia="zh-CN"/>
                    </w:rPr>
                    <w:t>1.28&lt;DRX-cycle</w:t>
                  </w:r>
                  <w:r w:rsidRPr="00304F38">
                    <w:rPr>
                      <w:rFonts w:cs="Arial"/>
                      <w:lang w:eastAsia="ja-JP"/>
                    </w:rPr>
                    <w:t>≤</w:t>
                  </w:r>
                  <w:r w:rsidRPr="00304F38">
                    <w:rPr>
                      <w:rFonts w:cs="Arial" w:hint="eastAsia"/>
                      <w:lang w:eastAsia="zh-CN"/>
                    </w:rPr>
                    <w:t>2.56</w:t>
                  </w:r>
                </w:p>
              </w:tc>
              <w:tc>
                <w:tcPr>
                  <w:tcW w:w="2603" w:type="pct"/>
                </w:tcPr>
                <w:p w:rsidR="006832B8" w:rsidRPr="00304F38" w:rsidRDefault="006832B8" w:rsidP="006832B8">
                  <w:pPr>
                    <w:pStyle w:val="TAC"/>
                    <w:rPr>
                      <w:rFonts w:cs="Arial"/>
                      <w:lang w:eastAsia="ja-JP"/>
                    </w:rPr>
                  </w:pPr>
                  <w:r w:rsidRPr="00304F38">
                    <w:rPr>
                      <w:rFonts w:cs="Arial" w:hint="eastAsia"/>
                      <w:lang w:eastAsia="zh-CN"/>
                    </w:rPr>
                    <w:t>20</w:t>
                  </w:r>
                </w:p>
              </w:tc>
            </w:tr>
          </w:tbl>
          <w:p w:rsidR="006832B8" w:rsidRDefault="006832B8" w:rsidP="006832B8">
            <w:pPr>
              <w:rPr>
                <w:lang w:val="en-US" w:eastAsia="zh-CN"/>
              </w:rPr>
            </w:pPr>
          </w:p>
        </w:tc>
        <w:tc>
          <w:tcPr>
            <w:tcW w:w="1794" w:type="dxa"/>
          </w:tcPr>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396"/>
            </w:tblGrid>
            <w:tr w:rsidR="006832B8" w:rsidRPr="00304F38" w:rsidTr="00E2786D">
              <w:trPr>
                <w:cantSplit/>
                <w:jc w:val="center"/>
              </w:trPr>
              <w:tc>
                <w:tcPr>
                  <w:tcW w:w="2397" w:type="pct"/>
                </w:tcPr>
                <w:p w:rsidR="006832B8" w:rsidRPr="00304F38" w:rsidRDefault="006832B8" w:rsidP="006832B8">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2603" w:type="pct"/>
                </w:tcPr>
                <w:p w:rsidR="006832B8" w:rsidRPr="00304F38" w:rsidRDefault="006832B8" w:rsidP="006832B8">
                  <w:pPr>
                    <w:pStyle w:val="TAC"/>
                    <w:rPr>
                      <w:rFonts w:cs="Arial"/>
                      <w:lang w:eastAsia="ja-JP"/>
                    </w:rPr>
                  </w:pPr>
                  <w:r w:rsidRPr="00304F38">
                    <w:rPr>
                      <w:rFonts w:cs="Arial" w:hint="eastAsia"/>
                      <w:lang w:eastAsia="zh-CN"/>
                    </w:rPr>
                    <w:t>15</w:t>
                  </w:r>
                </w:p>
              </w:tc>
            </w:tr>
            <w:tr w:rsidR="006832B8" w:rsidRPr="00304F38" w:rsidTr="00E2786D">
              <w:trPr>
                <w:cantSplit/>
                <w:jc w:val="center"/>
              </w:trPr>
              <w:tc>
                <w:tcPr>
                  <w:tcW w:w="2397" w:type="pct"/>
                </w:tcPr>
                <w:p w:rsidR="006832B8" w:rsidRPr="00304F38" w:rsidRDefault="006832B8" w:rsidP="006832B8">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2603" w:type="pct"/>
                </w:tcPr>
                <w:p w:rsidR="006832B8" w:rsidRPr="00304F38" w:rsidRDefault="006832B8" w:rsidP="006832B8">
                  <w:pPr>
                    <w:pStyle w:val="TAC"/>
                    <w:rPr>
                      <w:rFonts w:cs="Arial"/>
                      <w:snapToGrid w:val="0"/>
                      <w:lang w:eastAsia="ja-JP"/>
                    </w:rPr>
                  </w:pPr>
                  <w:r w:rsidRPr="00304F38">
                    <w:rPr>
                      <w:rFonts w:cs="Arial" w:hint="eastAsia"/>
                      <w:lang w:eastAsia="zh-CN"/>
                    </w:rPr>
                    <w:t>10</w:t>
                  </w:r>
                </w:p>
              </w:tc>
            </w:tr>
            <w:tr w:rsidR="006832B8" w:rsidRPr="00304F38" w:rsidTr="00E2786D">
              <w:trPr>
                <w:cantSplit/>
                <w:jc w:val="center"/>
              </w:trPr>
              <w:tc>
                <w:tcPr>
                  <w:tcW w:w="2397" w:type="pct"/>
                </w:tcPr>
                <w:p w:rsidR="006832B8" w:rsidRPr="00304F38" w:rsidRDefault="006832B8" w:rsidP="006832B8">
                  <w:pPr>
                    <w:pStyle w:val="TAC"/>
                    <w:rPr>
                      <w:rFonts w:cs="Arial"/>
                      <w:lang w:eastAsia="zh-CN"/>
                    </w:rPr>
                  </w:pPr>
                  <w:r>
                    <w:rPr>
                      <w:rFonts w:cs="Arial" w:hint="eastAsia"/>
                      <w:lang w:eastAsia="zh-CN"/>
                    </w:rPr>
                    <w:t>DRX=1.28</w:t>
                  </w:r>
                </w:p>
              </w:tc>
              <w:tc>
                <w:tcPr>
                  <w:tcW w:w="2603" w:type="pct"/>
                </w:tcPr>
                <w:p w:rsidR="006832B8" w:rsidRPr="00304F38" w:rsidRDefault="006832B8" w:rsidP="006832B8">
                  <w:pPr>
                    <w:pStyle w:val="TAC"/>
                    <w:rPr>
                      <w:rFonts w:cs="Arial"/>
                      <w:lang w:eastAsia="ja-JP"/>
                    </w:rPr>
                  </w:pPr>
                  <w:r>
                    <w:rPr>
                      <w:rFonts w:cs="Arial"/>
                      <w:lang w:eastAsia="zh-CN"/>
                    </w:rPr>
                    <w:t>8</w:t>
                  </w:r>
                </w:p>
              </w:tc>
            </w:tr>
            <w:tr w:rsidR="006832B8" w:rsidRPr="00304F38" w:rsidTr="00E2786D">
              <w:trPr>
                <w:cantSplit/>
                <w:jc w:val="center"/>
              </w:trPr>
              <w:tc>
                <w:tcPr>
                  <w:tcW w:w="2397" w:type="pct"/>
                </w:tcPr>
                <w:p w:rsidR="006832B8" w:rsidRPr="00304F38" w:rsidRDefault="006832B8" w:rsidP="006832B8">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2603" w:type="pct"/>
                </w:tcPr>
                <w:p w:rsidR="006832B8" w:rsidRPr="00304F38" w:rsidRDefault="006832B8" w:rsidP="006832B8">
                  <w:pPr>
                    <w:pStyle w:val="TAC"/>
                    <w:rPr>
                      <w:rFonts w:cs="Arial"/>
                      <w:lang w:eastAsia="ja-JP"/>
                    </w:rPr>
                  </w:pPr>
                  <w:r w:rsidRPr="00304F38">
                    <w:rPr>
                      <w:rFonts w:cs="Arial" w:hint="eastAsia"/>
                      <w:lang w:eastAsia="zh-CN"/>
                    </w:rPr>
                    <w:t>20</w:t>
                  </w:r>
                </w:p>
              </w:tc>
            </w:tr>
          </w:tbl>
          <w:p w:rsidR="006832B8" w:rsidRDefault="006832B8" w:rsidP="006832B8">
            <w:pPr>
              <w:rPr>
                <w:lang w:val="en-US" w:eastAsia="zh-CN"/>
              </w:rPr>
            </w:pPr>
          </w:p>
        </w:tc>
        <w:tc>
          <w:tcPr>
            <w:tcW w:w="1794" w:type="dxa"/>
          </w:tcPr>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396"/>
            </w:tblGrid>
            <w:tr w:rsidR="00512B41" w:rsidTr="00E2786D">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lang w:val="en-US" w:eastAsia="ja-JP"/>
                    </w:rPr>
                  </w:pPr>
                  <w:r>
                    <w:rPr>
                      <w:rFonts w:cs="Arial"/>
                      <w:lang w:val="en-US" w:eastAsia="zh-CN"/>
                    </w:rPr>
                    <w:t>15</w:t>
                  </w:r>
                </w:p>
              </w:tc>
            </w:tr>
            <w:tr w:rsidR="00512B41" w:rsidTr="00E2786D">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snapToGrid w:val="0"/>
                      <w:lang w:val="en-US" w:eastAsia="ja-JP"/>
                    </w:rPr>
                  </w:pPr>
                  <w:r>
                    <w:rPr>
                      <w:rFonts w:cs="Arial"/>
                      <w:lang w:val="en-US" w:eastAsia="zh-CN"/>
                    </w:rPr>
                    <w:t>10</w:t>
                  </w:r>
                </w:p>
              </w:tc>
            </w:tr>
            <w:tr w:rsidR="00512B41" w:rsidTr="00E2786D">
              <w:trPr>
                <w:cantSplit/>
                <w:jc w:val="center"/>
              </w:trPr>
              <w:tc>
                <w:tcPr>
                  <w:tcW w:w="2636"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364" w:type="pct"/>
                  <w:tcBorders>
                    <w:top w:val="single" w:sz="4" w:space="0" w:color="auto"/>
                    <w:left w:val="single" w:sz="4" w:space="0" w:color="auto"/>
                    <w:bottom w:val="single" w:sz="4" w:space="0" w:color="auto"/>
                    <w:right w:val="single" w:sz="4" w:space="0" w:color="auto"/>
                  </w:tcBorders>
                  <w:hideMark/>
                </w:tcPr>
                <w:p w:rsidR="00512B41" w:rsidRDefault="00512B41" w:rsidP="00512B41">
                  <w:pPr>
                    <w:pStyle w:val="TAC"/>
                    <w:rPr>
                      <w:rFonts w:cs="Arial"/>
                      <w:lang w:val="en-US" w:eastAsia="ja-JP"/>
                    </w:rPr>
                  </w:pPr>
                  <w:r>
                    <w:rPr>
                      <w:rFonts w:cs="Arial"/>
                      <w:lang w:val="en-US" w:eastAsia="ja-JP"/>
                    </w:rPr>
                    <w:t>20</w:t>
                  </w:r>
                </w:p>
              </w:tc>
            </w:tr>
          </w:tbl>
          <w:p w:rsidR="006832B8" w:rsidRDefault="006832B8" w:rsidP="006832B8">
            <w:pPr>
              <w:rPr>
                <w:lang w:val="en-US" w:eastAsia="zh-CN"/>
              </w:rPr>
            </w:pPr>
          </w:p>
        </w:tc>
      </w:tr>
      <w:tr w:rsidR="006832B8" w:rsidTr="00ED41AD">
        <w:tc>
          <w:tcPr>
            <w:tcW w:w="1793" w:type="dxa"/>
          </w:tcPr>
          <w:p w:rsidR="006832B8" w:rsidRDefault="006832B8" w:rsidP="006832B8">
            <w:pPr>
              <w:rPr>
                <w:lang w:val="en-US" w:eastAsia="zh-CN"/>
              </w:rPr>
            </w:pPr>
            <w:r>
              <w:rPr>
                <w:lang w:val="en-US" w:eastAsia="zh-CN"/>
              </w:rPr>
              <w:t>Measurement period RRC connected deactivated S</w:t>
            </w:r>
            <w:r w:rsidR="009520F9">
              <w:rPr>
                <w:lang w:val="en-US" w:eastAsia="zh-CN"/>
              </w:rPr>
              <w:t>c</w:t>
            </w:r>
            <w:r>
              <w:rPr>
                <w:lang w:val="en-US" w:eastAsia="zh-CN"/>
              </w:rPr>
              <w:t>ell</w:t>
            </w:r>
          </w:p>
        </w:tc>
        <w:tc>
          <w:tcPr>
            <w:tcW w:w="1794" w:type="dxa"/>
          </w:tcPr>
          <w:p w:rsidR="006832B8" w:rsidRDefault="00713A0C" w:rsidP="006832B8">
            <w:pPr>
              <w:rPr>
                <w:lang w:val="en-US" w:eastAsia="zh-CN"/>
              </w:rPr>
            </w:pPr>
            <w:r>
              <w:t xml:space="preserve">5 </w:t>
            </w:r>
            <w:r>
              <w:rPr>
                <w:i/>
              </w:rPr>
              <w:t>measCycleSCell</w:t>
            </w:r>
          </w:p>
        </w:tc>
        <w:tc>
          <w:tcPr>
            <w:tcW w:w="1794" w:type="dxa"/>
          </w:tcPr>
          <w:p w:rsidR="006832B8" w:rsidRDefault="00512B41" w:rsidP="006832B8">
            <w:pPr>
              <w:rPr>
                <w:lang w:val="en-US" w:eastAsia="zh-CN"/>
              </w:rPr>
            </w:pPr>
            <w:r>
              <w:rPr>
                <w:lang w:val="en-US" w:eastAsia="zh-CN"/>
              </w:rPr>
              <w:t>N/A</w:t>
            </w:r>
          </w:p>
        </w:tc>
        <w:tc>
          <w:tcPr>
            <w:tcW w:w="1794" w:type="dxa"/>
          </w:tcPr>
          <w:p w:rsidR="006832B8" w:rsidRDefault="00512B41" w:rsidP="006832B8">
            <w:pPr>
              <w:rPr>
                <w:lang w:val="en-US" w:eastAsia="zh-CN"/>
              </w:rPr>
            </w:pPr>
            <w:r>
              <w:rPr>
                <w:lang w:val="en-US" w:eastAsia="zh-CN"/>
              </w:rPr>
              <w:t>N/A</w:t>
            </w:r>
          </w:p>
        </w:tc>
        <w:tc>
          <w:tcPr>
            <w:tcW w:w="1794" w:type="dxa"/>
          </w:tcPr>
          <w:p w:rsidR="006832B8" w:rsidRDefault="00713A0C" w:rsidP="006832B8">
            <w:pPr>
              <w:rPr>
                <w:lang w:val="en-US" w:eastAsia="zh-CN"/>
              </w:rPr>
            </w:pPr>
            <w:r>
              <w:t xml:space="preserve">3 </w:t>
            </w:r>
            <w:r>
              <w:rPr>
                <w:i/>
              </w:rPr>
              <w:t>measCycleSCell</w:t>
            </w:r>
          </w:p>
        </w:tc>
      </w:tr>
      <w:tr w:rsidR="006832B8" w:rsidTr="00ED41AD">
        <w:tc>
          <w:tcPr>
            <w:tcW w:w="1793" w:type="dxa"/>
          </w:tcPr>
          <w:p w:rsidR="006832B8" w:rsidRDefault="006832B8" w:rsidP="006832B8">
            <w:pPr>
              <w:rPr>
                <w:lang w:val="en-US" w:eastAsia="zh-CN"/>
              </w:rPr>
            </w:pPr>
            <w:r>
              <w:rPr>
                <w:lang w:val="en-US" w:eastAsia="zh-CN"/>
              </w:rPr>
              <w:t>Cell identification RRC connected deactivated SCell</w:t>
            </w:r>
          </w:p>
        </w:tc>
        <w:tc>
          <w:tcPr>
            <w:tcW w:w="1794" w:type="dxa"/>
          </w:tcPr>
          <w:p w:rsidR="006832B8" w:rsidRDefault="00456ADF" w:rsidP="006832B8">
            <w:pPr>
              <w:rPr>
                <w:lang w:val="en-US" w:eastAsia="zh-CN"/>
              </w:rPr>
            </w:pPr>
            <w:r>
              <w:t xml:space="preserve">20 </w:t>
            </w:r>
            <w:r>
              <w:rPr>
                <w:rFonts w:cs="v4.2.0"/>
                <w:i/>
              </w:rPr>
              <w:t>measCycleSCell</w:t>
            </w:r>
          </w:p>
        </w:tc>
        <w:tc>
          <w:tcPr>
            <w:tcW w:w="1794" w:type="dxa"/>
          </w:tcPr>
          <w:p w:rsidR="006832B8" w:rsidRDefault="006832B8" w:rsidP="006832B8">
            <w:pPr>
              <w:rPr>
                <w:lang w:val="en-US" w:eastAsia="zh-CN"/>
              </w:rPr>
            </w:pPr>
            <w:r>
              <w:rPr>
                <w:lang w:val="en-US" w:eastAsia="zh-CN"/>
              </w:rPr>
              <w:t>N/A</w:t>
            </w:r>
          </w:p>
        </w:tc>
        <w:tc>
          <w:tcPr>
            <w:tcW w:w="1794" w:type="dxa"/>
          </w:tcPr>
          <w:p w:rsidR="006832B8" w:rsidRDefault="006832B8" w:rsidP="006832B8">
            <w:pPr>
              <w:rPr>
                <w:lang w:val="en-US" w:eastAsia="zh-CN"/>
              </w:rPr>
            </w:pPr>
            <w:r>
              <w:rPr>
                <w:lang w:val="en-US" w:eastAsia="zh-CN"/>
              </w:rPr>
              <w:t>N/A</w:t>
            </w:r>
          </w:p>
        </w:tc>
        <w:tc>
          <w:tcPr>
            <w:tcW w:w="1794" w:type="dxa"/>
          </w:tcPr>
          <w:p w:rsidR="006832B8" w:rsidRDefault="00456ADF" w:rsidP="006832B8">
            <w:pPr>
              <w:rPr>
                <w:lang w:val="en-US" w:eastAsia="zh-CN"/>
              </w:rPr>
            </w:pPr>
            <w:r>
              <w:t xml:space="preserve">10 </w:t>
            </w:r>
            <w:r>
              <w:rPr>
                <w:rFonts w:cs="v4.2.0"/>
                <w:i/>
              </w:rPr>
              <w:t>measCycleSCell</w:t>
            </w:r>
          </w:p>
        </w:tc>
      </w:tr>
    </w:tbl>
    <w:p w:rsidR="00ED41AD" w:rsidRPr="00456ADF" w:rsidRDefault="00456ADF" w:rsidP="00ED41AD">
      <w:pPr>
        <w:rPr>
          <w:b/>
          <w:lang w:val="en-US" w:eastAsia="zh-CN"/>
        </w:rPr>
      </w:pPr>
      <w:r>
        <w:rPr>
          <w:b/>
          <w:lang w:val="en-US" w:eastAsia="zh-CN"/>
        </w:rPr>
        <w:t>Table 1 : Legacy and high speed requirements in LTE</w:t>
      </w:r>
    </w:p>
    <w:p w:rsidR="00456ADF" w:rsidRDefault="00456ADF" w:rsidP="00ED41AD">
      <w:pPr>
        <w:rPr>
          <w:lang w:val="en-US" w:eastAsia="zh-CN"/>
        </w:rPr>
      </w:pPr>
      <w:r>
        <w:rPr>
          <w:lang w:val="en-US" w:eastAsia="zh-CN"/>
        </w:rPr>
        <w:t xml:space="preserve">Generally speaking, very similar procedures are used for reselection, handover and </w:t>
      </w:r>
      <w:r w:rsidR="009E77B8">
        <w:rPr>
          <w:lang w:val="en-US" w:eastAsia="zh-CN"/>
        </w:rPr>
        <w:t>S</w:t>
      </w:r>
      <w:r>
        <w:rPr>
          <w:lang w:val="en-US" w:eastAsia="zh-CN"/>
        </w:rPr>
        <w:t>cell management between LTE and NR, and therefore the system needs for measurement delays are very similar between the RATs. The principal difference between NR and LTE from a measurement perspective is that in LTE, PSS/SSS are transmitted every 5ms and CRS have very high availability. In NR, the UE may only assume that SSB is transmitted in the intra</w:t>
      </w:r>
      <w:r w:rsidR="009E77B8">
        <w:rPr>
          <w:lang w:val="en-US" w:eastAsia="zh-CN"/>
        </w:rPr>
        <w:t>-</w:t>
      </w:r>
      <w:r>
        <w:rPr>
          <w:lang w:val="en-US" w:eastAsia="zh-CN"/>
        </w:rPr>
        <w:t>frequency SMTC, which has a configurable periodicity between 5ms and 160ms, with 20ms being assumed for initial search. Hence, it is not reasonable to expect that high speed train operation at 350km/h or 500km/h could work with the longest SMTC periods, and we have a companion contribution on high speed requirements applicability.</w:t>
      </w:r>
      <w:r w:rsidR="009E2912">
        <w:rPr>
          <w:lang w:val="en-US" w:eastAsia="zh-CN"/>
        </w:rPr>
        <w:t xml:space="preserve"> The other </w:t>
      </w:r>
      <w:r w:rsidR="009E77B8">
        <w:rPr>
          <w:lang w:val="en-US" w:eastAsia="zh-CN"/>
        </w:rPr>
        <w:t>difference</w:t>
      </w:r>
      <w:r w:rsidR="009E2912">
        <w:rPr>
          <w:lang w:val="en-US" w:eastAsia="zh-CN"/>
        </w:rPr>
        <w:t xml:space="preserve"> of note is that intra</w:t>
      </w:r>
      <w:r w:rsidR="009E77B8">
        <w:rPr>
          <w:lang w:val="en-US" w:eastAsia="zh-CN"/>
        </w:rPr>
        <w:t>-</w:t>
      </w:r>
      <w:r w:rsidR="009E2912">
        <w:rPr>
          <w:lang w:val="en-US" w:eastAsia="zh-CN"/>
        </w:rPr>
        <w:t>frequency measurements may be performed with or without gaps depending on whether the active reception bandwidth includes the SSB for measurement.</w:t>
      </w:r>
    </w:p>
    <w:tbl>
      <w:tblPr>
        <w:tblStyle w:val="TableGrid"/>
        <w:tblW w:w="0" w:type="auto"/>
        <w:tblLook w:val="04A0" w:firstRow="1" w:lastRow="0" w:firstColumn="1" w:lastColumn="0" w:noHBand="0" w:noVBand="1"/>
      </w:tblPr>
      <w:tblGrid>
        <w:gridCol w:w="1793"/>
        <w:gridCol w:w="1794"/>
      </w:tblGrid>
      <w:tr w:rsidR="00724EBB" w:rsidTr="00E2786D">
        <w:tc>
          <w:tcPr>
            <w:tcW w:w="1793" w:type="dxa"/>
          </w:tcPr>
          <w:p w:rsidR="00724EBB" w:rsidRPr="00ED41AD" w:rsidRDefault="00724EBB" w:rsidP="00E2786D">
            <w:pPr>
              <w:rPr>
                <w:b/>
                <w:lang w:val="en-US" w:eastAsia="zh-CN"/>
              </w:rPr>
            </w:pPr>
            <w:r w:rsidRPr="00ED41AD">
              <w:rPr>
                <w:b/>
                <w:lang w:val="en-US" w:eastAsia="zh-CN"/>
              </w:rPr>
              <w:t>Intra requirement</w:t>
            </w:r>
          </w:p>
        </w:tc>
        <w:tc>
          <w:tcPr>
            <w:tcW w:w="1794" w:type="dxa"/>
          </w:tcPr>
          <w:p w:rsidR="00724EBB" w:rsidRDefault="009520F9" w:rsidP="00E2786D">
            <w:pPr>
              <w:rPr>
                <w:lang w:val="en-US" w:eastAsia="zh-CN"/>
              </w:rPr>
            </w:pPr>
            <w:r>
              <w:rPr>
                <w:lang w:val="en-US" w:eastAsia="zh-CN"/>
              </w:rPr>
              <w:t>NR release 15</w:t>
            </w:r>
            <w:r w:rsidR="00724EBB">
              <w:rPr>
                <w:lang w:val="en-US" w:eastAsia="zh-CN"/>
              </w:rPr>
              <w:t xml:space="preserve"> non high speed</w:t>
            </w:r>
          </w:p>
        </w:tc>
      </w:tr>
      <w:tr w:rsidR="00724EBB" w:rsidRPr="00AD1543" w:rsidTr="00E2786D">
        <w:tc>
          <w:tcPr>
            <w:tcW w:w="1793" w:type="dxa"/>
          </w:tcPr>
          <w:p w:rsidR="00724EBB" w:rsidRDefault="00724EBB" w:rsidP="00E2786D">
            <w:pPr>
              <w:rPr>
                <w:lang w:val="en-US" w:eastAsia="zh-CN"/>
              </w:rPr>
            </w:pPr>
            <w:r>
              <w:rPr>
                <w:lang w:val="en-US" w:eastAsia="zh-CN"/>
              </w:rPr>
              <w:t>Idle mode T</w:t>
            </w:r>
            <w:r w:rsidR="00070429">
              <w:rPr>
                <w:vertAlign w:val="subscript"/>
                <w:lang w:val="en-US" w:eastAsia="zh-CN"/>
              </w:rPr>
              <w:t>evaluate</w:t>
            </w:r>
          </w:p>
        </w:tc>
        <w:tc>
          <w:tcPr>
            <w:tcW w:w="1794" w:type="dxa"/>
          </w:tcPr>
          <w:p w:rsidR="00724EBB" w:rsidRDefault="009520F9" w:rsidP="00E2786D">
            <w:pPr>
              <w:pStyle w:val="TAC"/>
              <w:rPr>
                <w:rFonts w:cs="Arial"/>
                <w:snapToGrid w:val="0"/>
              </w:rPr>
            </w:pPr>
            <w:r>
              <w:rPr>
                <w:rFonts w:cs="Arial"/>
                <w:snapToGrid w:val="0"/>
              </w:rPr>
              <w:t>16</w:t>
            </w:r>
            <w:r w:rsidR="00A03040">
              <w:rPr>
                <w:rFonts w:cs="Arial"/>
                <w:snapToGrid w:val="0"/>
              </w:rPr>
              <w:t>M</w:t>
            </w:r>
            <w:r w:rsidR="00A03040" w:rsidRPr="00A03040">
              <w:rPr>
                <w:rFonts w:cs="Arial"/>
                <w:snapToGrid w:val="0"/>
                <w:vertAlign w:val="subscript"/>
              </w:rPr>
              <w:t>2</w:t>
            </w:r>
            <w:r>
              <w:rPr>
                <w:rFonts w:cs="Arial"/>
                <w:snapToGrid w:val="0"/>
              </w:rPr>
              <w:t xml:space="preserve"> samples (0.32s)</w:t>
            </w:r>
          </w:p>
          <w:p w:rsidR="009520F9" w:rsidRDefault="009520F9" w:rsidP="00E2786D">
            <w:pPr>
              <w:pStyle w:val="TAC"/>
              <w:rPr>
                <w:rFonts w:cs="Arial"/>
                <w:snapToGrid w:val="0"/>
              </w:rPr>
            </w:pPr>
            <w:r>
              <w:rPr>
                <w:rFonts w:cs="Arial"/>
                <w:snapToGrid w:val="0"/>
              </w:rPr>
              <w:t>8</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w:t>
            </w:r>
            <w:r w:rsidR="009D582E">
              <w:rPr>
                <w:rFonts w:cs="Arial"/>
                <w:snapToGrid w:val="0"/>
              </w:rPr>
              <w:t>0.64s)</w:t>
            </w:r>
          </w:p>
          <w:p w:rsidR="009D582E" w:rsidRDefault="009D582E" w:rsidP="00E2786D">
            <w:pPr>
              <w:pStyle w:val="TAC"/>
              <w:rPr>
                <w:rFonts w:cs="Arial"/>
                <w:snapToGrid w:val="0"/>
              </w:rPr>
            </w:pPr>
            <w:r>
              <w:rPr>
                <w:rFonts w:cs="Arial"/>
                <w:snapToGrid w:val="0"/>
              </w:rPr>
              <w:t>5</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(1.28s)</w:t>
            </w:r>
          </w:p>
          <w:p w:rsidR="009D582E" w:rsidRPr="00AD1543" w:rsidRDefault="009D582E" w:rsidP="00E2786D">
            <w:pPr>
              <w:pStyle w:val="TAC"/>
              <w:rPr>
                <w:rFonts w:cs="Arial"/>
                <w:snapToGrid w:val="0"/>
              </w:rPr>
            </w:pPr>
            <w:r>
              <w:rPr>
                <w:rFonts w:cs="Arial"/>
                <w:snapToGrid w:val="0"/>
              </w:rPr>
              <w:t>3</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(2.56s)</w:t>
            </w:r>
          </w:p>
        </w:tc>
      </w:tr>
      <w:tr w:rsidR="00724EBB" w:rsidRPr="00AD1543" w:rsidTr="00E2786D">
        <w:tc>
          <w:tcPr>
            <w:tcW w:w="1793" w:type="dxa"/>
          </w:tcPr>
          <w:p w:rsidR="00724EBB" w:rsidRDefault="00724EBB" w:rsidP="00E2786D">
            <w:pPr>
              <w:rPr>
                <w:lang w:val="en-US" w:eastAsia="zh-CN"/>
              </w:rPr>
            </w:pPr>
            <w:r>
              <w:rPr>
                <w:lang w:val="en-US" w:eastAsia="zh-CN"/>
              </w:rPr>
              <w:t>Idle mode T</w:t>
            </w:r>
            <w:r w:rsidR="00070429" w:rsidRPr="00070429">
              <w:rPr>
                <w:vertAlign w:val="subscript"/>
                <w:lang w:val="en-US" w:eastAsia="zh-CN"/>
              </w:rPr>
              <w:t>detect</w:t>
            </w:r>
          </w:p>
        </w:tc>
        <w:tc>
          <w:tcPr>
            <w:tcW w:w="1794" w:type="dxa"/>
          </w:tcPr>
          <w:p w:rsidR="009D582E" w:rsidRDefault="009D582E" w:rsidP="009D582E">
            <w:pPr>
              <w:pStyle w:val="TAC"/>
              <w:rPr>
                <w:rFonts w:cs="Arial"/>
                <w:snapToGrid w:val="0"/>
              </w:rPr>
            </w:pPr>
            <w:r>
              <w:rPr>
                <w:rFonts w:cs="Arial"/>
                <w:snapToGrid w:val="0"/>
              </w:rPr>
              <w:t>36</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(0.32s)</w:t>
            </w:r>
          </w:p>
          <w:p w:rsidR="009D582E" w:rsidRDefault="009D582E" w:rsidP="009D582E">
            <w:pPr>
              <w:pStyle w:val="TAC"/>
              <w:rPr>
                <w:rFonts w:cs="Arial"/>
                <w:snapToGrid w:val="0"/>
              </w:rPr>
            </w:pPr>
            <w:r>
              <w:rPr>
                <w:rFonts w:cs="Arial"/>
                <w:snapToGrid w:val="0"/>
              </w:rPr>
              <w:t>28</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(0.64s)</w:t>
            </w:r>
          </w:p>
          <w:p w:rsidR="009D582E" w:rsidRDefault="009D582E" w:rsidP="009D582E">
            <w:pPr>
              <w:pStyle w:val="TAC"/>
              <w:rPr>
                <w:rFonts w:cs="Arial"/>
                <w:snapToGrid w:val="0"/>
              </w:rPr>
            </w:pPr>
            <w:r>
              <w:rPr>
                <w:rFonts w:cs="Arial"/>
                <w:snapToGrid w:val="0"/>
              </w:rPr>
              <w:t>25</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(1.28s)</w:t>
            </w:r>
          </w:p>
          <w:p w:rsidR="00724EBB" w:rsidRPr="00AD1543" w:rsidRDefault="009D582E" w:rsidP="009D582E">
            <w:pPr>
              <w:pStyle w:val="TAC"/>
              <w:rPr>
                <w:rFonts w:cs="Arial"/>
                <w:snapToGrid w:val="0"/>
              </w:rPr>
            </w:pPr>
            <w:r>
              <w:rPr>
                <w:rFonts w:cs="Arial"/>
                <w:snapToGrid w:val="0"/>
              </w:rPr>
              <w:t>23</w:t>
            </w:r>
            <w:r w:rsidR="00A03040">
              <w:rPr>
                <w:rFonts w:cs="Arial"/>
                <w:snapToGrid w:val="0"/>
              </w:rPr>
              <w:t xml:space="preserve"> M</w:t>
            </w:r>
            <w:r w:rsidR="00A03040" w:rsidRPr="00A03040">
              <w:rPr>
                <w:rFonts w:cs="Arial"/>
                <w:snapToGrid w:val="0"/>
                <w:vertAlign w:val="subscript"/>
              </w:rPr>
              <w:t>2</w:t>
            </w:r>
            <w:r>
              <w:rPr>
                <w:rFonts w:cs="Arial"/>
                <w:snapToGrid w:val="0"/>
              </w:rPr>
              <w:t xml:space="preserve"> samples (2.56s)</w:t>
            </w:r>
          </w:p>
        </w:tc>
      </w:tr>
      <w:tr w:rsidR="00724EBB" w:rsidRPr="00AD1543" w:rsidTr="00E2786D">
        <w:tc>
          <w:tcPr>
            <w:tcW w:w="1793" w:type="dxa"/>
          </w:tcPr>
          <w:p w:rsidR="00724EBB" w:rsidRDefault="00724EBB" w:rsidP="00E2786D">
            <w:pPr>
              <w:rPr>
                <w:lang w:val="en-US" w:eastAsia="zh-CN"/>
              </w:rPr>
            </w:pPr>
            <w:r>
              <w:rPr>
                <w:lang w:val="en-US" w:eastAsia="zh-CN"/>
              </w:rPr>
              <w:t>Measurement period RRC connected non DRX</w:t>
            </w:r>
          </w:p>
        </w:tc>
        <w:tc>
          <w:tcPr>
            <w:tcW w:w="1794" w:type="dxa"/>
          </w:tcPr>
          <w:p w:rsidR="00724EBB" w:rsidRPr="00AD1543" w:rsidRDefault="009520F9" w:rsidP="00E2786D">
            <w:pPr>
              <w:pStyle w:val="TAC"/>
              <w:rPr>
                <w:rFonts w:cs="Arial"/>
                <w:snapToGrid w:val="0"/>
              </w:rPr>
            </w:pPr>
            <w:r>
              <w:rPr>
                <w:rFonts w:cs="Arial"/>
                <w:snapToGrid w:val="0"/>
              </w:rPr>
              <w:t>5 samples</w:t>
            </w:r>
          </w:p>
        </w:tc>
      </w:tr>
      <w:tr w:rsidR="00724EBB" w:rsidRPr="00AD1543" w:rsidTr="00E2786D">
        <w:tc>
          <w:tcPr>
            <w:tcW w:w="1793" w:type="dxa"/>
          </w:tcPr>
          <w:p w:rsidR="00724EBB" w:rsidRDefault="009D582E" w:rsidP="00E2786D">
            <w:pPr>
              <w:rPr>
                <w:lang w:val="en-US" w:eastAsia="zh-CN"/>
              </w:rPr>
            </w:pPr>
            <w:r>
              <w:rPr>
                <w:lang w:val="en-US" w:eastAsia="zh-CN"/>
              </w:rPr>
              <w:t>PSS/SSS sync</w:t>
            </w:r>
            <w:r w:rsidR="00724EBB">
              <w:rPr>
                <w:lang w:val="en-US" w:eastAsia="zh-CN"/>
              </w:rPr>
              <w:t xml:space="preserve"> RRC connected non DRX</w:t>
            </w:r>
          </w:p>
        </w:tc>
        <w:tc>
          <w:tcPr>
            <w:tcW w:w="1794" w:type="dxa"/>
          </w:tcPr>
          <w:p w:rsidR="00724EBB" w:rsidRPr="00AD1543" w:rsidRDefault="009520F9" w:rsidP="00E2786D">
            <w:pPr>
              <w:pStyle w:val="TAC"/>
              <w:rPr>
                <w:rFonts w:cs="Arial"/>
                <w:snapToGrid w:val="0"/>
              </w:rPr>
            </w:pPr>
            <w:r>
              <w:rPr>
                <w:rFonts w:cs="Arial"/>
                <w:snapToGrid w:val="0"/>
              </w:rPr>
              <w:t>5 samples</w:t>
            </w:r>
          </w:p>
        </w:tc>
      </w:tr>
      <w:tr w:rsidR="009520F9" w:rsidRPr="00AD1543" w:rsidTr="00E2786D">
        <w:tc>
          <w:tcPr>
            <w:tcW w:w="1793" w:type="dxa"/>
          </w:tcPr>
          <w:p w:rsidR="009520F9" w:rsidRDefault="009520F9" w:rsidP="00E2786D">
            <w:pPr>
              <w:rPr>
                <w:lang w:val="en-US" w:eastAsia="zh-CN"/>
              </w:rPr>
            </w:pPr>
            <w:r>
              <w:rPr>
                <w:lang w:val="en-US" w:eastAsia="zh-CN"/>
              </w:rPr>
              <w:t>Time index detection non DRX</w:t>
            </w:r>
          </w:p>
        </w:tc>
        <w:tc>
          <w:tcPr>
            <w:tcW w:w="1794" w:type="dxa"/>
          </w:tcPr>
          <w:p w:rsidR="009520F9" w:rsidRDefault="009520F9" w:rsidP="00E2786D">
            <w:pPr>
              <w:pStyle w:val="TAC"/>
              <w:rPr>
                <w:rFonts w:cs="Arial"/>
                <w:snapToGrid w:val="0"/>
              </w:rPr>
            </w:pPr>
            <w:r>
              <w:rPr>
                <w:rFonts w:cs="Arial"/>
                <w:snapToGrid w:val="0"/>
              </w:rPr>
              <w:t>3 samples</w:t>
            </w:r>
          </w:p>
        </w:tc>
      </w:tr>
      <w:tr w:rsidR="00724EBB" w:rsidTr="00E2786D">
        <w:tc>
          <w:tcPr>
            <w:tcW w:w="1793" w:type="dxa"/>
          </w:tcPr>
          <w:p w:rsidR="00724EBB" w:rsidRDefault="00724EBB" w:rsidP="00E2786D">
            <w:pPr>
              <w:rPr>
                <w:lang w:val="en-US" w:eastAsia="zh-CN"/>
              </w:rPr>
            </w:pPr>
            <w:r>
              <w:rPr>
                <w:lang w:val="en-US" w:eastAsia="zh-CN"/>
              </w:rPr>
              <w:t>Measurement period RRC connected DRX</w:t>
            </w:r>
          </w:p>
        </w:tc>
        <w:tc>
          <w:tcPr>
            <w:tcW w:w="1794" w:type="dxa"/>
          </w:tcPr>
          <w:p w:rsidR="00724EBB" w:rsidRDefault="009520F9" w:rsidP="009520F9">
            <w:pPr>
              <w:jc w:val="center"/>
              <w:rPr>
                <w:lang w:val="en-US" w:eastAsia="zh-CN"/>
              </w:rPr>
            </w:pPr>
            <w:r>
              <w:rPr>
                <w:lang w:val="en-US" w:eastAsia="zh-CN"/>
              </w:rPr>
              <w:t>5 samples</w:t>
            </w:r>
          </w:p>
        </w:tc>
      </w:tr>
      <w:tr w:rsidR="00724EBB" w:rsidTr="00E2786D">
        <w:tc>
          <w:tcPr>
            <w:tcW w:w="1793" w:type="dxa"/>
          </w:tcPr>
          <w:p w:rsidR="00724EBB" w:rsidRDefault="009D582E" w:rsidP="00E2786D">
            <w:pPr>
              <w:rPr>
                <w:lang w:val="en-US" w:eastAsia="zh-CN"/>
              </w:rPr>
            </w:pPr>
            <w:r>
              <w:rPr>
                <w:lang w:val="en-US" w:eastAsia="zh-CN"/>
              </w:rPr>
              <w:lastRenderedPageBreak/>
              <w:t>PSS/SSS sync</w:t>
            </w:r>
            <w:r w:rsidR="00724EBB">
              <w:rPr>
                <w:lang w:val="en-US" w:eastAsia="zh-CN"/>
              </w:rPr>
              <w:t xml:space="preserve"> RRC connected DRX</w:t>
            </w:r>
          </w:p>
        </w:tc>
        <w:tc>
          <w:tcPr>
            <w:tcW w:w="1794" w:type="dxa"/>
          </w:tcPr>
          <w:p w:rsidR="00724EBB" w:rsidRDefault="009520F9" w:rsidP="00E2786D">
            <w:pPr>
              <w:rPr>
                <w:lang w:val="en-US" w:eastAsia="zh-CN"/>
              </w:rPr>
            </w:pPr>
            <w:r>
              <w:rPr>
                <w:lang w:val="en-US" w:eastAsia="zh-CN"/>
              </w:rPr>
              <w:t>1.5*5 samples (≤320ms)</w:t>
            </w:r>
          </w:p>
          <w:p w:rsidR="009520F9" w:rsidRDefault="009520F9" w:rsidP="00E2786D">
            <w:pPr>
              <w:rPr>
                <w:lang w:val="en-US" w:eastAsia="zh-CN"/>
              </w:rPr>
            </w:pPr>
            <w:r>
              <w:rPr>
                <w:lang w:val="en-US" w:eastAsia="zh-CN"/>
              </w:rPr>
              <w:t>5 samples (&gt;320ms)</w:t>
            </w:r>
          </w:p>
        </w:tc>
      </w:tr>
      <w:tr w:rsidR="009520F9" w:rsidTr="00E2786D">
        <w:tc>
          <w:tcPr>
            <w:tcW w:w="1793" w:type="dxa"/>
          </w:tcPr>
          <w:p w:rsidR="009520F9" w:rsidRDefault="009520F9" w:rsidP="009520F9">
            <w:pPr>
              <w:rPr>
                <w:lang w:val="en-US" w:eastAsia="zh-CN"/>
              </w:rPr>
            </w:pPr>
            <w:r>
              <w:rPr>
                <w:lang w:val="en-US" w:eastAsia="zh-CN"/>
              </w:rPr>
              <w:t>Time index detection non DRX</w:t>
            </w:r>
          </w:p>
        </w:tc>
        <w:tc>
          <w:tcPr>
            <w:tcW w:w="1794" w:type="dxa"/>
          </w:tcPr>
          <w:p w:rsidR="009520F9" w:rsidRDefault="009520F9" w:rsidP="009520F9">
            <w:pPr>
              <w:rPr>
                <w:lang w:val="en-US" w:eastAsia="zh-CN"/>
              </w:rPr>
            </w:pPr>
            <w:r>
              <w:rPr>
                <w:lang w:val="en-US" w:eastAsia="zh-CN"/>
              </w:rPr>
              <w:t>1.5*3 samples (≤320ms)</w:t>
            </w:r>
          </w:p>
          <w:p w:rsidR="009520F9" w:rsidRDefault="009520F9" w:rsidP="009520F9">
            <w:pPr>
              <w:rPr>
                <w:lang w:val="en-US" w:eastAsia="zh-CN"/>
              </w:rPr>
            </w:pPr>
            <w:r>
              <w:rPr>
                <w:lang w:val="en-US" w:eastAsia="zh-CN"/>
              </w:rPr>
              <w:t>3 samples (&gt;320ms)</w:t>
            </w:r>
          </w:p>
        </w:tc>
      </w:tr>
      <w:tr w:rsidR="009520F9" w:rsidTr="00E2786D">
        <w:tc>
          <w:tcPr>
            <w:tcW w:w="1793" w:type="dxa"/>
          </w:tcPr>
          <w:p w:rsidR="009520F9" w:rsidRDefault="009520F9" w:rsidP="009520F9">
            <w:pPr>
              <w:rPr>
                <w:lang w:val="en-US" w:eastAsia="zh-CN"/>
              </w:rPr>
            </w:pPr>
            <w:r>
              <w:rPr>
                <w:lang w:val="en-US" w:eastAsia="zh-CN"/>
              </w:rPr>
              <w:t>Measurement period RRC connected deactivated SCell</w:t>
            </w:r>
          </w:p>
        </w:tc>
        <w:tc>
          <w:tcPr>
            <w:tcW w:w="1794" w:type="dxa"/>
          </w:tcPr>
          <w:p w:rsidR="009520F9" w:rsidRDefault="009520F9" w:rsidP="009520F9">
            <w:pPr>
              <w:rPr>
                <w:lang w:val="en-US" w:eastAsia="zh-CN"/>
              </w:rPr>
            </w:pPr>
            <w:r>
              <w:rPr>
                <w:lang w:val="en-US" w:eastAsia="zh-CN"/>
              </w:rPr>
              <w:t>1.5*5 samples (≤320ms)</w:t>
            </w:r>
          </w:p>
          <w:p w:rsidR="009520F9" w:rsidRDefault="009520F9" w:rsidP="009520F9">
            <w:pPr>
              <w:rPr>
                <w:lang w:val="en-US" w:eastAsia="zh-CN"/>
              </w:rPr>
            </w:pPr>
            <w:r>
              <w:rPr>
                <w:lang w:val="en-US" w:eastAsia="zh-CN"/>
              </w:rPr>
              <w:t>5 samples (&gt;320ms)</w:t>
            </w:r>
          </w:p>
        </w:tc>
      </w:tr>
      <w:tr w:rsidR="009520F9" w:rsidTr="00E2786D">
        <w:tc>
          <w:tcPr>
            <w:tcW w:w="1793" w:type="dxa"/>
          </w:tcPr>
          <w:p w:rsidR="009520F9" w:rsidRDefault="009D582E" w:rsidP="009520F9">
            <w:pPr>
              <w:rPr>
                <w:lang w:val="en-US" w:eastAsia="zh-CN"/>
              </w:rPr>
            </w:pPr>
            <w:r>
              <w:rPr>
                <w:lang w:val="en-US" w:eastAsia="zh-CN"/>
              </w:rPr>
              <w:t>PSS/SSS sync</w:t>
            </w:r>
            <w:r w:rsidR="009520F9">
              <w:rPr>
                <w:lang w:val="en-US" w:eastAsia="zh-CN"/>
              </w:rPr>
              <w:t xml:space="preserve"> RRC connected deactivated S</w:t>
            </w:r>
            <w:r w:rsidR="00BB7D0C">
              <w:rPr>
                <w:lang w:val="en-US" w:eastAsia="zh-CN"/>
              </w:rPr>
              <w:t>c</w:t>
            </w:r>
            <w:r w:rsidR="009520F9">
              <w:rPr>
                <w:lang w:val="en-US" w:eastAsia="zh-CN"/>
              </w:rPr>
              <w:t>ell</w:t>
            </w:r>
          </w:p>
        </w:tc>
        <w:tc>
          <w:tcPr>
            <w:tcW w:w="1794" w:type="dxa"/>
          </w:tcPr>
          <w:p w:rsidR="009520F9" w:rsidRDefault="009520F9" w:rsidP="009520F9">
            <w:pPr>
              <w:rPr>
                <w:lang w:val="en-US" w:eastAsia="zh-CN"/>
              </w:rPr>
            </w:pPr>
            <w:r>
              <w:rPr>
                <w:lang w:val="en-US" w:eastAsia="zh-CN"/>
              </w:rPr>
              <w:t xml:space="preserve">5 </w:t>
            </w:r>
            <w:r>
              <w:rPr>
                <w:rFonts w:cs="v4.2.0"/>
                <w:i/>
              </w:rPr>
              <w:t>measCycleSCell</w:t>
            </w:r>
            <w:r>
              <w:rPr>
                <w:lang w:val="en-US" w:eastAsia="zh-CN"/>
              </w:rPr>
              <w:t xml:space="preserve"> (Non DRX)</w:t>
            </w:r>
          </w:p>
          <w:p w:rsidR="009520F9" w:rsidRDefault="009520F9" w:rsidP="009520F9">
            <w:pPr>
              <w:rPr>
                <w:lang w:val="en-US" w:eastAsia="zh-CN"/>
              </w:rPr>
            </w:pPr>
          </w:p>
          <w:p w:rsidR="009520F9" w:rsidRDefault="009520F9" w:rsidP="009520F9">
            <w:pPr>
              <w:rPr>
                <w:lang w:val="en-US" w:eastAsia="zh-CN"/>
              </w:rPr>
            </w:pPr>
            <w:r>
              <w:rPr>
                <w:lang w:val="en-US" w:eastAsia="zh-CN"/>
              </w:rPr>
              <w:t xml:space="preserve">5 </w:t>
            </w:r>
            <w:r>
              <w:rPr>
                <w:rFonts w:cs="v4.2.0"/>
                <w:i/>
              </w:rPr>
              <w:t>measCycleSCell</w:t>
            </w:r>
            <w:r>
              <w:rPr>
                <w:lang w:val="en-US" w:eastAsia="zh-CN"/>
              </w:rPr>
              <w:t xml:space="preserve"> (≤320ms)</w:t>
            </w:r>
          </w:p>
          <w:p w:rsidR="009520F9" w:rsidRDefault="009520F9" w:rsidP="009520F9">
            <w:r>
              <w:rPr>
                <w:lang w:val="en-US" w:eastAsia="zh-CN"/>
              </w:rPr>
              <w:t xml:space="preserve">5 </w:t>
            </w:r>
            <w:r>
              <w:rPr>
                <w:rFonts w:cs="v4.2.0"/>
                <w:i/>
              </w:rPr>
              <w:t>measCycleSCell</w:t>
            </w:r>
            <w:r>
              <w:rPr>
                <w:lang w:val="en-US" w:eastAsia="zh-CN"/>
              </w:rPr>
              <w:t xml:space="preserve"> (&gt;320ms)</w:t>
            </w:r>
          </w:p>
          <w:p w:rsidR="009520F9" w:rsidRDefault="009520F9" w:rsidP="009520F9">
            <w:pPr>
              <w:rPr>
                <w:lang w:val="en-US" w:eastAsia="zh-CN"/>
              </w:rPr>
            </w:pPr>
            <w:r>
              <w:t xml:space="preserve">20 </w:t>
            </w:r>
            <w:r>
              <w:rPr>
                <w:rFonts w:cs="v4.2.0"/>
                <w:i/>
              </w:rPr>
              <w:t>measCycleSCell</w:t>
            </w:r>
          </w:p>
        </w:tc>
      </w:tr>
    </w:tbl>
    <w:p w:rsidR="00724EBB" w:rsidRPr="009D582E" w:rsidRDefault="009D582E" w:rsidP="00ED41AD">
      <w:pPr>
        <w:rPr>
          <w:b/>
          <w:lang w:val="en-US" w:eastAsia="zh-CN"/>
        </w:rPr>
      </w:pPr>
      <w:r>
        <w:rPr>
          <w:b/>
          <w:lang w:val="en-US" w:eastAsia="zh-CN"/>
        </w:rPr>
        <w:t>Table 2 : Release 15 NR requirements</w:t>
      </w:r>
    </w:p>
    <w:p w:rsidR="009D582E" w:rsidRDefault="009D582E" w:rsidP="00ED41AD">
      <w:pPr>
        <w:rPr>
          <w:lang w:val="en-US" w:eastAsia="zh-CN"/>
        </w:rPr>
      </w:pPr>
      <w:r>
        <w:rPr>
          <w:lang w:val="en-US" w:eastAsia="zh-CN"/>
        </w:rPr>
        <w:t xml:space="preserve">Since FR1 NR trackside deployments and LTE trackside deployments can be expected to be very similar or identical, and also because the frequency bands being used are comparable, it follows that the system needs for RRM delays would also be very similar or identical between FR1 NR and LTE. Hence, it is possible to make a direct comparison between table 1 and table 2 to identify suitable enhancements for NR operation at either 350km/h or 500km/h target speed. To ensure that a like-for-like comparison is made, we note that in NR, the total time to detect an unknown cell is the sum of PSS/SSS </w:t>
      </w:r>
      <w:r w:rsidR="00A03040">
        <w:rPr>
          <w:lang w:val="en-US" w:eastAsia="zh-CN"/>
        </w:rPr>
        <w:t>sync, possible time index reading and measurement period</w:t>
      </w:r>
      <w:r w:rsidR="009E77B8">
        <w:rPr>
          <w:lang w:val="en-US" w:eastAsia="zh-CN"/>
        </w:rPr>
        <w:t xml:space="preserve"> whereas for LTE identification includes both detection and measurement</w:t>
      </w:r>
      <w:r w:rsidR="00A03040">
        <w:rPr>
          <w:lang w:val="en-US" w:eastAsia="zh-CN"/>
        </w:rPr>
        <w:t>.</w:t>
      </w:r>
    </w:p>
    <w:p w:rsidR="00A03040" w:rsidRDefault="00A03040" w:rsidP="00ED41AD">
      <w:pPr>
        <w:rPr>
          <w:i/>
          <w:u w:val="single"/>
          <w:lang w:val="en-US" w:eastAsia="zh-CN"/>
        </w:rPr>
      </w:pPr>
      <w:r>
        <w:rPr>
          <w:i/>
          <w:u w:val="single"/>
          <w:lang w:val="en-US" w:eastAsia="zh-CN"/>
        </w:rPr>
        <w:t>Idle Mode</w:t>
      </w:r>
    </w:p>
    <w:p w:rsidR="00A03040" w:rsidRDefault="00A03040" w:rsidP="00ED41AD">
      <w:pPr>
        <w:rPr>
          <w:lang w:val="en-US" w:eastAsia="zh-CN"/>
        </w:rPr>
      </w:pPr>
      <w:r>
        <w:rPr>
          <w:lang w:val="en-US" w:eastAsia="zh-CN"/>
        </w:rPr>
        <w:t xml:space="preserve">Comparing table 1 and table 2, the non-high speed LTE idle mode requirements are identical to the NR non-high speed requirements in cases that </w:t>
      </w:r>
      <w:r w:rsidR="005A62D4">
        <w:rPr>
          <w:lang w:val="en-US" w:eastAsia="zh-CN"/>
        </w:rPr>
        <w:t>M</w:t>
      </w:r>
      <w:r w:rsidR="005A62D4" w:rsidRPr="005A62D4">
        <w:rPr>
          <w:vertAlign w:val="subscript"/>
          <w:lang w:val="en-US" w:eastAsia="zh-CN"/>
        </w:rPr>
        <w:t>2</w:t>
      </w:r>
      <w:r w:rsidR="005A62D4">
        <w:rPr>
          <w:lang w:val="en-US" w:eastAsia="zh-CN"/>
        </w:rPr>
        <w:t>=1 (SMTC≤20ms). For other cases, the NR performance is relaxed by a factor of 1.5 compared with LTE non-high speed.</w:t>
      </w:r>
    </w:p>
    <w:p w:rsidR="005A62D4" w:rsidRDefault="005A62D4" w:rsidP="00ED41AD">
      <w:pPr>
        <w:rPr>
          <w:lang w:val="en-US" w:eastAsia="zh-CN"/>
        </w:rPr>
      </w:pPr>
      <w:r>
        <w:rPr>
          <w:lang w:val="en-US" w:eastAsia="zh-CN"/>
        </w:rPr>
        <w:t xml:space="preserve">It follows that the release 15 NR idle mode performance is not sufficient to support high speed operation. We propose that the RRM requirements are enhanced </w:t>
      </w:r>
      <w:r w:rsidR="00070429">
        <w:rPr>
          <w:lang w:val="en-US" w:eastAsia="zh-CN"/>
        </w:rPr>
        <w:t>with the following attributes</w:t>
      </w:r>
    </w:p>
    <w:p w:rsidR="00031570" w:rsidRDefault="00031570" w:rsidP="00031570">
      <w:pPr>
        <w:rPr>
          <w:b/>
          <w:lang w:val="en-US" w:eastAsia="zh-CN"/>
        </w:rPr>
      </w:pPr>
      <w:r>
        <w:rPr>
          <w:b/>
          <w:lang w:val="en-US" w:eastAsia="zh-CN"/>
        </w:rPr>
        <w:t>Proposal 1 : For high speed scenarios, idle mode intra frequency Tdetect and Tevaluate shall be enhanced except for 2.56s DRX cycle</w:t>
      </w:r>
    </w:p>
    <w:p w:rsidR="00031570" w:rsidRPr="009B0924" w:rsidRDefault="00031570" w:rsidP="00031570">
      <w:pPr>
        <w:rPr>
          <w:lang w:val="en-US" w:eastAsia="zh-CN"/>
        </w:rPr>
      </w:pPr>
      <w:r>
        <w:rPr>
          <w:b/>
          <w:lang w:val="en-US" w:eastAsia="zh-CN"/>
        </w:rPr>
        <w:t>Proposal 2 : M</w:t>
      </w:r>
      <w:r w:rsidRPr="00070429">
        <w:rPr>
          <w:b/>
          <w:vertAlign w:val="subscript"/>
          <w:lang w:val="en-US" w:eastAsia="zh-CN"/>
        </w:rPr>
        <w:t>2</w:t>
      </w:r>
      <w:r>
        <w:rPr>
          <w:b/>
          <w:lang w:val="en-US" w:eastAsia="zh-CN"/>
        </w:rPr>
        <w:t xml:space="preserve"> relaxation in idle mode shall not be considered for high speed scenarios</w:t>
      </w:r>
    </w:p>
    <w:p w:rsidR="00031570" w:rsidRDefault="00031570" w:rsidP="00031570">
      <w:pPr>
        <w:pStyle w:val="TAC"/>
        <w:jc w:val="left"/>
        <w:rPr>
          <w:rFonts w:cs="Arial"/>
          <w:b/>
          <w:snapToGrid w:val="0"/>
        </w:rPr>
      </w:pPr>
      <w:r w:rsidRPr="009B0924">
        <w:rPr>
          <w:b/>
          <w:lang w:val="en-US" w:eastAsia="zh-CN"/>
        </w:rPr>
        <w:t>Proposal 3 : The</w:t>
      </w:r>
      <w:r>
        <w:rPr>
          <w:b/>
          <w:lang w:val="en-US" w:eastAsia="zh-CN"/>
        </w:rPr>
        <w:t xml:space="preserve"> Idle </w:t>
      </w:r>
      <w:r w:rsidRPr="009B0924">
        <w:rPr>
          <w:b/>
          <w:lang w:val="en-US" w:eastAsia="zh-CN"/>
        </w:rPr>
        <w:t>enhanced requirements would be Tevaluate=3 DRX cycles and Tdetect=10DRX cycles for speed up to 350km/h or Tdetect=</w:t>
      </w:r>
      <w:r w:rsidRPr="009B0924">
        <w:rPr>
          <w:rFonts w:cs="Arial"/>
          <w:b/>
        </w:rPr>
        <w:t xml:space="preserve">8 DRX cycles (0.32s), </w:t>
      </w:r>
      <w:r w:rsidRPr="009B0924">
        <w:rPr>
          <w:b/>
          <w:lang w:val="en-US" w:eastAsia="zh-CN"/>
        </w:rPr>
        <w:t>Tdetect=</w:t>
      </w:r>
      <w:r w:rsidRPr="009B0924">
        <w:rPr>
          <w:rFonts w:cs="Arial"/>
          <w:b/>
          <w:snapToGrid w:val="0"/>
        </w:rPr>
        <w:t xml:space="preserve">8 DRX cycles (0.64s), </w:t>
      </w:r>
      <w:r w:rsidRPr="009B0924">
        <w:rPr>
          <w:b/>
          <w:lang w:val="en-US" w:eastAsia="zh-CN"/>
        </w:rPr>
        <w:t>Tdetect=</w:t>
      </w:r>
      <w:r w:rsidRPr="009B0924">
        <w:rPr>
          <w:rFonts w:cs="Arial"/>
          <w:b/>
          <w:snapToGrid w:val="0"/>
        </w:rPr>
        <w:t>7 DRX cycles (1.28s) for speeds up to 500km/h</w:t>
      </w:r>
    </w:p>
    <w:p w:rsidR="00070429" w:rsidRPr="00070429" w:rsidRDefault="00070429" w:rsidP="00ED41AD">
      <w:pPr>
        <w:rPr>
          <w:b/>
          <w:lang w:val="en-US" w:eastAsia="zh-CN"/>
        </w:rPr>
      </w:pPr>
    </w:p>
    <w:p w:rsidR="009B0924" w:rsidRDefault="009B0924" w:rsidP="009B0924">
      <w:pPr>
        <w:rPr>
          <w:i/>
          <w:u w:val="single"/>
          <w:lang w:val="en-US" w:eastAsia="zh-CN"/>
        </w:rPr>
      </w:pPr>
      <w:r>
        <w:rPr>
          <w:i/>
          <w:u w:val="single"/>
          <w:lang w:val="en-US" w:eastAsia="zh-CN"/>
        </w:rPr>
        <w:t>RRC connected Mode</w:t>
      </w:r>
    </w:p>
    <w:p w:rsidR="009B0924" w:rsidRDefault="009B0924" w:rsidP="00ED41AD">
      <w:pPr>
        <w:rPr>
          <w:lang w:val="en-US" w:eastAsia="zh-CN"/>
        </w:rPr>
      </w:pPr>
      <w:r>
        <w:rPr>
          <w:lang w:val="en-US" w:eastAsia="zh-CN"/>
        </w:rPr>
        <w:t xml:space="preserve">Again, comparing table 1 and table 2, the measurement period in DRX for NR should be enhanced to 3 samples, supporting both up to 350km/h and up to 500km/h. </w:t>
      </w:r>
      <w:r w:rsidR="009E77B8">
        <w:rPr>
          <w:lang w:val="en-US" w:eastAsia="zh-CN"/>
        </w:rPr>
        <w:t>Similarly to idle mode, no 1.5x relaxation factor should be allowed for with DRX cycles ≤320ms</w:t>
      </w:r>
    </w:p>
    <w:p w:rsidR="00031570" w:rsidRDefault="00031570" w:rsidP="00031570">
      <w:pPr>
        <w:rPr>
          <w:b/>
          <w:lang w:val="en-US" w:eastAsia="zh-CN"/>
        </w:rPr>
      </w:pPr>
      <w:r>
        <w:rPr>
          <w:b/>
          <w:lang w:val="en-US" w:eastAsia="zh-CN"/>
        </w:rPr>
        <w:lastRenderedPageBreak/>
        <w:t>Proposal 4: The RRC connected intra frequency DRX measurement period for high speed scenarios in NR is enhanced to 3 samples</w:t>
      </w:r>
      <w:r w:rsidR="009E77B8">
        <w:rPr>
          <w:b/>
          <w:lang w:val="en-US" w:eastAsia="zh-CN"/>
        </w:rPr>
        <w:t xml:space="preserve"> without any 1.5x relaxation factor</w:t>
      </w:r>
    </w:p>
    <w:p w:rsidR="009D582E" w:rsidRDefault="009B0924" w:rsidP="00ED41AD">
      <w:pPr>
        <w:rPr>
          <w:lang w:val="en-US" w:eastAsia="zh-CN"/>
        </w:rPr>
      </w:pPr>
      <w:r>
        <w:rPr>
          <w:lang w:val="en-US" w:eastAsia="zh-CN"/>
        </w:rPr>
        <w:t xml:space="preserve">If proposal 4 is done, we can see that the overall cell identification delay becomes 8 DRX cycles without time index reading, or 11 DRX cycles with time index reading. Comparing with the enhancements for LTE, our view is that this level is on a par with the LTE enhanced requirement, </w:t>
      </w:r>
      <w:r w:rsidR="009E77B8">
        <w:rPr>
          <w:lang w:val="en-US" w:eastAsia="zh-CN"/>
        </w:rPr>
        <w:t xml:space="preserve">except for the 1.5x relaxation factor, </w:t>
      </w:r>
      <w:r>
        <w:rPr>
          <w:lang w:val="en-US" w:eastAsia="zh-CN"/>
        </w:rPr>
        <w:t>so we propose</w:t>
      </w:r>
    </w:p>
    <w:p w:rsidR="00031570" w:rsidRDefault="00031570" w:rsidP="00031570">
      <w:pPr>
        <w:rPr>
          <w:b/>
          <w:lang w:val="en-US" w:eastAsia="zh-CN"/>
        </w:rPr>
      </w:pPr>
      <w:r w:rsidRPr="00031570">
        <w:rPr>
          <w:b/>
          <w:lang w:val="en-US" w:eastAsia="zh-CN"/>
        </w:rPr>
        <w:t xml:space="preserve">Proposal 5 : </w:t>
      </w:r>
      <w:r w:rsidR="009E77B8">
        <w:rPr>
          <w:b/>
          <w:lang w:val="en-US" w:eastAsia="zh-CN"/>
        </w:rPr>
        <w:t>The 1.5x relaxation factor is removed from</w:t>
      </w:r>
      <w:r w:rsidRPr="00031570">
        <w:rPr>
          <w:b/>
          <w:lang w:val="en-US" w:eastAsia="zh-CN"/>
        </w:rPr>
        <w:t xml:space="preserve"> </w:t>
      </w:r>
      <w:r>
        <w:rPr>
          <w:b/>
          <w:lang w:val="en-US" w:eastAsia="zh-CN"/>
        </w:rPr>
        <w:t xml:space="preserve">RRC connected </w:t>
      </w:r>
      <w:r w:rsidRPr="00031570">
        <w:rPr>
          <w:b/>
          <w:lang w:val="en-US" w:eastAsia="zh-CN"/>
        </w:rPr>
        <w:t xml:space="preserve">pss/sss sync </w:t>
      </w:r>
      <w:r w:rsidR="009E77B8">
        <w:rPr>
          <w:b/>
          <w:lang w:val="en-US" w:eastAsia="zh-CN"/>
        </w:rPr>
        <w:t>and</w:t>
      </w:r>
      <w:r w:rsidRPr="00031570">
        <w:rPr>
          <w:b/>
          <w:lang w:val="en-US" w:eastAsia="zh-CN"/>
        </w:rPr>
        <w:t xml:space="preserve"> time index reading requirements for high speed scenarios</w:t>
      </w:r>
    </w:p>
    <w:p w:rsidR="00031570" w:rsidRPr="00031570" w:rsidRDefault="00031570" w:rsidP="00ED41AD">
      <w:pPr>
        <w:rPr>
          <w:lang w:val="en-US" w:eastAsia="zh-CN"/>
        </w:rPr>
      </w:pPr>
      <w:r>
        <w:rPr>
          <w:lang w:val="en-US" w:eastAsia="zh-CN"/>
        </w:rPr>
        <w:t xml:space="preserve">A further justification for proposal 5 is that in release 15 the NR requirements for PSS/SSS sync and time index reading are the outcome of a link level simulation campaign, and it may be difficult to implement enhanced DRX requirements without </w:t>
      </w:r>
      <w:r w:rsidR="009E77B8">
        <w:rPr>
          <w:lang w:val="en-US" w:eastAsia="zh-CN"/>
        </w:rPr>
        <w:t>making more than 1 measurement per DRX cycle</w:t>
      </w:r>
      <w:r>
        <w:rPr>
          <w:lang w:val="en-US" w:eastAsia="zh-CN"/>
        </w:rPr>
        <w:t>. In this case, it would be better that the NW just configures a shorter DRX cycle to get the necessary performance, which also improves the schedulablity of the UE.</w:t>
      </w:r>
    </w:p>
    <w:p w:rsidR="006B6666" w:rsidRDefault="006B6666" w:rsidP="006B6666">
      <w:pPr>
        <w:pStyle w:val="Heading1"/>
        <w:jc w:val="both"/>
        <w:rPr>
          <w:rFonts w:eastAsia="SimSun"/>
          <w:lang w:val="en-US" w:eastAsia="zh-CN"/>
        </w:rPr>
      </w:pPr>
      <w:r>
        <w:rPr>
          <w:rFonts w:eastAsia="SimSun"/>
          <w:lang w:val="en-US" w:eastAsia="zh-CN"/>
        </w:rPr>
        <w:t>Conclusions</w:t>
      </w:r>
    </w:p>
    <w:p w:rsidR="00031570" w:rsidRPr="00031570" w:rsidRDefault="00031570" w:rsidP="00031570">
      <w:pPr>
        <w:rPr>
          <w:lang w:val="en-US" w:eastAsia="zh-CN"/>
        </w:rPr>
      </w:pPr>
      <w:r w:rsidRPr="00031570">
        <w:rPr>
          <w:lang w:val="en-US" w:eastAsia="zh-CN"/>
        </w:rPr>
        <w:t xml:space="preserve">In </w:t>
      </w:r>
      <w:r>
        <w:rPr>
          <w:lang w:val="en-US" w:eastAsia="zh-CN"/>
        </w:rPr>
        <w:t>this paper we evaluate NR high speed requirements for speeds of up to 350km/h or speeds of up to 500km/h. Based on the evaluation we propose</w:t>
      </w:r>
    </w:p>
    <w:p w:rsidR="00031570" w:rsidRDefault="00031570" w:rsidP="00031570">
      <w:pPr>
        <w:rPr>
          <w:b/>
          <w:lang w:val="en-US" w:eastAsia="zh-CN"/>
        </w:rPr>
      </w:pPr>
      <w:r>
        <w:rPr>
          <w:b/>
          <w:lang w:val="en-US" w:eastAsia="zh-CN"/>
        </w:rPr>
        <w:t>Proposal 1 : For high speed scenarios, idle mode intra frequency Tdetect and Tevaluate shall be enhanced except for 2.56s DRX cycle</w:t>
      </w:r>
    </w:p>
    <w:p w:rsidR="00031570" w:rsidRPr="009B0924" w:rsidRDefault="00031570" w:rsidP="00031570">
      <w:pPr>
        <w:rPr>
          <w:lang w:val="en-US" w:eastAsia="zh-CN"/>
        </w:rPr>
      </w:pPr>
      <w:r>
        <w:rPr>
          <w:b/>
          <w:lang w:val="en-US" w:eastAsia="zh-CN"/>
        </w:rPr>
        <w:t>Proposal 2 : M</w:t>
      </w:r>
      <w:r w:rsidRPr="00070429">
        <w:rPr>
          <w:b/>
          <w:vertAlign w:val="subscript"/>
          <w:lang w:val="en-US" w:eastAsia="zh-CN"/>
        </w:rPr>
        <w:t>2</w:t>
      </w:r>
      <w:r>
        <w:rPr>
          <w:b/>
          <w:lang w:val="en-US" w:eastAsia="zh-CN"/>
        </w:rPr>
        <w:t xml:space="preserve"> relaxation in idle mode shall not be considered for high speed scenarios</w:t>
      </w:r>
    </w:p>
    <w:p w:rsidR="00031570" w:rsidRDefault="00031570" w:rsidP="00031570">
      <w:pPr>
        <w:pStyle w:val="TAC"/>
        <w:jc w:val="left"/>
        <w:rPr>
          <w:rFonts w:cs="Arial"/>
          <w:b/>
          <w:snapToGrid w:val="0"/>
        </w:rPr>
      </w:pPr>
      <w:r w:rsidRPr="009B0924">
        <w:rPr>
          <w:b/>
          <w:lang w:val="en-US" w:eastAsia="zh-CN"/>
        </w:rPr>
        <w:t>Proposal 3 : The</w:t>
      </w:r>
      <w:r>
        <w:rPr>
          <w:b/>
          <w:lang w:val="en-US" w:eastAsia="zh-CN"/>
        </w:rPr>
        <w:t xml:space="preserve"> Idle </w:t>
      </w:r>
      <w:r w:rsidRPr="009B0924">
        <w:rPr>
          <w:b/>
          <w:lang w:val="en-US" w:eastAsia="zh-CN"/>
        </w:rPr>
        <w:t>enhanced requirements would be Tevaluate=3 DRX cycles and Tdetect=10DRX cycles for speed up to 350km/h or Tdetect=</w:t>
      </w:r>
      <w:r w:rsidRPr="009B0924">
        <w:rPr>
          <w:rFonts w:cs="Arial"/>
          <w:b/>
        </w:rPr>
        <w:t xml:space="preserve">8 DRX cycles (0.32s), </w:t>
      </w:r>
      <w:r w:rsidRPr="009B0924">
        <w:rPr>
          <w:b/>
          <w:lang w:val="en-US" w:eastAsia="zh-CN"/>
        </w:rPr>
        <w:t>Tdetect=</w:t>
      </w:r>
      <w:r w:rsidRPr="009B0924">
        <w:rPr>
          <w:rFonts w:cs="Arial"/>
          <w:b/>
          <w:snapToGrid w:val="0"/>
        </w:rPr>
        <w:t xml:space="preserve">8 DRX cycles (0.64s), </w:t>
      </w:r>
      <w:r w:rsidRPr="009B0924">
        <w:rPr>
          <w:b/>
          <w:lang w:val="en-US" w:eastAsia="zh-CN"/>
        </w:rPr>
        <w:t>Tdetect=</w:t>
      </w:r>
      <w:r w:rsidRPr="009B0924">
        <w:rPr>
          <w:rFonts w:cs="Arial"/>
          <w:b/>
          <w:snapToGrid w:val="0"/>
        </w:rPr>
        <w:t>7 DRX cycles (1.28s) for speeds up to 500km/h</w:t>
      </w:r>
    </w:p>
    <w:p w:rsidR="00031570" w:rsidRPr="00031570" w:rsidRDefault="00031570" w:rsidP="00031570">
      <w:pPr>
        <w:pStyle w:val="TAC"/>
        <w:jc w:val="left"/>
        <w:rPr>
          <w:rFonts w:cs="Arial"/>
          <w:b/>
          <w:snapToGrid w:val="0"/>
        </w:rPr>
      </w:pPr>
    </w:p>
    <w:p w:rsidR="009E77B8" w:rsidRDefault="009E77B8" w:rsidP="009E77B8">
      <w:pPr>
        <w:rPr>
          <w:b/>
          <w:lang w:val="en-US" w:eastAsia="zh-CN"/>
        </w:rPr>
      </w:pPr>
      <w:r>
        <w:rPr>
          <w:b/>
          <w:lang w:val="en-US" w:eastAsia="zh-CN"/>
        </w:rPr>
        <w:t>Proposal 4: The RRC connected intra frequency DRX measurement period for high speed scenarios in NR is enhanced to 3 samples without any 1.5x relaxation factor</w:t>
      </w:r>
    </w:p>
    <w:p w:rsidR="009E77B8" w:rsidRDefault="009E77B8" w:rsidP="009E77B8">
      <w:pPr>
        <w:rPr>
          <w:b/>
          <w:lang w:val="en-US" w:eastAsia="zh-CN"/>
        </w:rPr>
      </w:pPr>
      <w:r w:rsidRPr="00031570">
        <w:rPr>
          <w:b/>
          <w:lang w:val="en-US" w:eastAsia="zh-CN"/>
        </w:rPr>
        <w:t xml:space="preserve">Proposal 5 : </w:t>
      </w:r>
      <w:r>
        <w:rPr>
          <w:b/>
          <w:lang w:val="en-US" w:eastAsia="zh-CN"/>
        </w:rPr>
        <w:t>The 1.5x relaxation factor is removed from</w:t>
      </w:r>
      <w:r w:rsidRPr="00031570">
        <w:rPr>
          <w:b/>
          <w:lang w:val="en-US" w:eastAsia="zh-CN"/>
        </w:rPr>
        <w:t xml:space="preserve"> </w:t>
      </w:r>
      <w:r>
        <w:rPr>
          <w:b/>
          <w:lang w:val="en-US" w:eastAsia="zh-CN"/>
        </w:rPr>
        <w:t xml:space="preserve">RRC connected </w:t>
      </w:r>
      <w:r w:rsidRPr="00031570">
        <w:rPr>
          <w:b/>
          <w:lang w:val="en-US" w:eastAsia="zh-CN"/>
        </w:rPr>
        <w:t xml:space="preserve">pss/sss sync </w:t>
      </w:r>
      <w:r>
        <w:rPr>
          <w:b/>
          <w:lang w:val="en-US" w:eastAsia="zh-CN"/>
        </w:rPr>
        <w:t>and</w:t>
      </w:r>
      <w:r w:rsidRPr="00031570">
        <w:rPr>
          <w:b/>
          <w:lang w:val="en-US" w:eastAsia="zh-CN"/>
        </w:rPr>
        <w:t xml:space="preserve"> time index reading requirements for high speed scenarios</w:t>
      </w:r>
    </w:p>
    <w:p w:rsidR="00367330" w:rsidRPr="00031570" w:rsidRDefault="00031570" w:rsidP="00367330">
      <w:pPr>
        <w:rPr>
          <w:lang w:val="en-US" w:eastAsia="zh-CN"/>
        </w:rPr>
      </w:pPr>
      <w:r w:rsidRPr="00031570">
        <w:rPr>
          <w:lang w:val="en-US" w:eastAsia="zh-CN"/>
        </w:rPr>
        <w:t>Sc</w:t>
      </w:r>
      <w:r>
        <w:rPr>
          <w:lang w:val="en-US" w:eastAsia="zh-CN"/>
        </w:rPr>
        <w:t>ell requirements are not considered as the scope of the WI is for SA single carrier NR.</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3F08E6" w:rsidP="000E35CC">
      <w:pPr>
        <w:pStyle w:val="3GPPNormalText"/>
        <w:numPr>
          <w:ilvl w:val="0"/>
          <w:numId w:val="5"/>
        </w:numPr>
        <w:rPr>
          <w:szCs w:val="20"/>
          <w:lang w:eastAsia="zh-CN"/>
        </w:rPr>
      </w:pPr>
      <w:bookmarkStart w:id="1" w:name="_Ref12541337"/>
      <w:r>
        <w:rPr>
          <w:szCs w:val="20"/>
          <w:lang w:eastAsia="zh-CN"/>
        </w:rPr>
        <w:t>R</w:t>
      </w:r>
      <w:r w:rsidR="005A62D4">
        <w:rPr>
          <w:szCs w:val="20"/>
          <w:lang w:eastAsia="zh-CN"/>
        </w:rPr>
        <w:t>P</w:t>
      </w:r>
      <w:r>
        <w:rPr>
          <w:szCs w:val="20"/>
          <w:lang w:eastAsia="zh-CN"/>
        </w:rPr>
        <w:t>-19</w:t>
      </w:r>
      <w:r w:rsidR="005A62D4">
        <w:rPr>
          <w:szCs w:val="20"/>
          <w:lang w:eastAsia="zh-CN"/>
        </w:rPr>
        <w:t>1512</w:t>
      </w:r>
      <w:r>
        <w:rPr>
          <w:szCs w:val="20"/>
          <w:lang w:eastAsia="zh-CN"/>
        </w:rPr>
        <w:t>, “</w:t>
      </w:r>
      <w:r w:rsidR="005A62D4" w:rsidRPr="005A62D4">
        <w:rPr>
          <w:szCs w:val="20"/>
          <w:lang w:eastAsia="zh-CN"/>
        </w:rPr>
        <w:t>New WID on NR support for high speed train scenario</w:t>
      </w:r>
      <w:r>
        <w:rPr>
          <w:szCs w:val="20"/>
          <w:lang w:eastAsia="zh-CN"/>
        </w:rPr>
        <w:t xml:space="preserve">”, </w:t>
      </w:r>
      <w:bookmarkEnd w:id="1"/>
      <w:r w:rsidR="005A62D4">
        <w:rPr>
          <w:szCs w:val="20"/>
          <w:lang w:eastAsia="zh-CN"/>
        </w:rPr>
        <w:t>CMCC</w:t>
      </w:r>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7C7" w:rsidRDefault="007307C7">
      <w:r>
        <w:separator/>
      </w:r>
    </w:p>
  </w:endnote>
  <w:endnote w:type="continuationSeparator" w:id="0">
    <w:p w:rsidR="007307C7" w:rsidRDefault="0073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7C7" w:rsidRDefault="007307C7">
      <w:r>
        <w:separator/>
      </w:r>
    </w:p>
  </w:footnote>
  <w:footnote w:type="continuationSeparator" w:id="0">
    <w:p w:rsidR="007307C7" w:rsidRDefault="00730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6"/>
  </w:num>
  <w:num w:numId="2">
    <w:abstractNumId w:val="33"/>
  </w:num>
  <w:num w:numId="3">
    <w:abstractNumId w:val="35"/>
  </w:num>
  <w:num w:numId="4">
    <w:abstractNumId w:val="8"/>
  </w:num>
  <w:num w:numId="5">
    <w:abstractNumId w:val="11"/>
  </w:num>
  <w:num w:numId="6">
    <w:abstractNumId w:val="29"/>
  </w:num>
  <w:num w:numId="7">
    <w:abstractNumId w:val="9"/>
  </w:num>
  <w:num w:numId="8">
    <w:abstractNumId w:val="23"/>
  </w:num>
  <w:num w:numId="9">
    <w:abstractNumId w:val="14"/>
  </w:num>
  <w:num w:numId="10">
    <w:abstractNumId w:val="15"/>
  </w:num>
  <w:num w:numId="11">
    <w:abstractNumId w:val="5"/>
  </w:num>
  <w:num w:numId="12">
    <w:abstractNumId w:val="20"/>
  </w:num>
  <w:num w:numId="13">
    <w:abstractNumId w:val="0"/>
  </w:num>
  <w:num w:numId="14">
    <w:abstractNumId w:val="1"/>
  </w:num>
  <w:num w:numId="15">
    <w:abstractNumId w:val="34"/>
  </w:num>
  <w:num w:numId="16">
    <w:abstractNumId w:val="21"/>
  </w:num>
  <w:num w:numId="17">
    <w:abstractNumId w:val="22"/>
  </w:num>
  <w:num w:numId="18">
    <w:abstractNumId w:val="7"/>
  </w:num>
  <w:num w:numId="19">
    <w:abstractNumId w:val="25"/>
  </w:num>
  <w:num w:numId="20">
    <w:abstractNumId w:val="27"/>
  </w:num>
  <w:num w:numId="21">
    <w:abstractNumId w:val="4"/>
  </w:num>
  <w:num w:numId="22">
    <w:abstractNumId w:val="31"/>
  </w:num>
  <w:num w:numId="23">
    <w:abstractNumId w:val="3"/>
  </w:num>
  <w:num w:numId="24">
    <w:abstractNumId w:val="24"/>
  </w:num>
  <w:num w:numId="25">
    <w:abstractNumId w:val="6"/>
  </w:num>
  <w:num w:numId="26">
    <w:abstractNumId w:val="26"/>
  </w:num>
  <w:num w:numId="27">
    <w:abstractNumId w:val="18"/>
  </w:num>
  <w:num w:numId="28">
    <w:abstractNumId w:val="19"/>
  </w:num>
  <w:num w:numId="29">
    <w:abstractNumId w:val="32"/>
  </w:num>
  <w:num w:numId="30">
    <w:abstractNumId w:val="28"/>
  </w:num>
  <w:num w:numId="31">
    <w:abstractNumId w:val="30"/>
  </w:num>
  <w:num w:numId="32">
    <w:abstractNumId w:val="10"/>
  </w:num>
  <w:num w:numId="33">
    <w:abstractNumId w:val="17"/>
  </w:num>
  <w:num w:numId="34">
    <w:abstractNumId w:val="2"/>
  </w:num>
  <w:num w:numId="35">
    <w:abstractNumId w:val="12"/>
  </w:num>
  <w:num w:numId="3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2D6"/>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570"/>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21D"/>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429"/>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1D29"/>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4F0"/>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6ADF"/>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5E8"/>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B41"/>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2D4"/>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2B8"/>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0C"/>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4EBB"/>
    <w:rsid w:val="0072553A"/>
    <w:rsid w:val="007255B7"/>
    <w:rsid w:val="00725C03"/>
    <w:rsid w:val="0072664F"/>
    <w:rsid w:val="00726709"/>
    <w:rsid w:val="00727071"/>
    <w:rsid w:val="00727242"/>
    <w:rsid w:val="00727661"/>
    <w:rsid w:val="00727A94"/>
    <w:rsid w:val="00727E45"/>
    <w:rsid w:val="007305C3"/>
    <w:rsid w:val="00730600"/>
    <w:rsid w:val="007307C7"/>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652"/>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0F9"/>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92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82E"/>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2912"/>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E77B8"/>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040"/>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CE2"/>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D0C"/>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8BF"/>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1AD"/>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94BF1D"/>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62D4"/>
    <w:pPr>
      <w:overflowPunct w:val="0"/>
      <w:autoSpaceDE w:val="0"/>
      <w:autoSpaceDN w:val="0"/>
      <w:adjustRightInd w:val="0"/>
      <w:spacing w:after="180"/>
    </w:pPr>
    <w:rPr>
      <w:rFonts w:ascii="Times New Roman" w:eastAsia="Malgun Gothic"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7651802">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9AC0D684-C071-42F7-971B-87A626AD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2019-10-03T15:26:00Z</dcterms:created>
  <dcterms:modified xsi:type="dcterms:W3CDTF">2019-10-04T14:45:00Z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